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001-32172</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39370</wp:posOffset>
            </wp:positionV>
            <wp:extent cx="1156970" cy="43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697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XPO,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223"/>
              <w:spacing w:after="0"/>
              <w:rPr>
                <w:sz w:val="20"/>
                <w:szCs w:val="20"/>
                <w:color w:val="auto"/>
              </w:rPr>
            </w:pPr>
            <w:r>
              <w:rPr>
                <w:rFonts w:ascii="Times New Roman" w:cs="Times New Roman" w:eastAsia="Times New Roman" w:hAnsi="Times New Roman"/>
                <w:sz w:val="18"/>
                <w:szCs w:val="18"/>
                <w:b w:val="1"/>
                <w:bCs w:val="1"/>
                <w:color w:val="auto"/>
              </w:rPr>
              <w:t>03-0450326</w:t>
            </w:r>
          </w:p>
        </w:tc>
      </w:tr>
      <w:tr>
        <w:trPr>
          <w:trHeight w:val="149"/>
        </w:trPr>
        <w:tc>
          <w:tcPr>
            <w:tcW w:w="4480" w:type="dxa"/>
            <w:vAlign w:val="bottom"/>
            <w:gridSpan w:val="3"/>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jc w:val="center"/>
              <w:ind w:right="198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8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27"/>
        </w:trPr>
        <w:tc>
          <w:tcPr>
            <w:tcW w:w="448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rPr>
              <w:t>Greenwich, CT</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423"/>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190"/>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6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(855) 976-6951</w:t>
            </w:r>
          </w:p>
        </w:tc>
        <w:tc>
          <w:tcPr>
            <w:tcW w:w="3420" w:type="dxa"/>
            <w:vAlign w:val="bottom"/>
          </w:tcPr>
          <w:p>
            <w:pPr>
              <w:spacing w:after="0"/>
              <w:rPr>
                <w:sz w:val="24"/>
                <w:szCs w:val="24"/>
                <w:color w:val="auto"/>
              </w:rPr>
            </w:pPr>
          </w:p>
        </w:tc>
      </w:tr>
      <w:tr>
        <w:trPr>
          <w:trHeight w:val="190"/>
        </w:trPr>
        <w:tc>
          <w:tcPr>
            <w:tcW w:w="7820" w:type="dxa"/>
            <w:vAlign w:val="bottom"/>
            <w:gridSpan w:val="5"/>
          </w:tcPr>
          <w:p>
            <w:pPr>
              <w:jc w:val="center"/>
              <w:ind w:left="3342"/>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tc>
        <w:tc>
          <w:tcPr>
            <w:tcW w:w="3420" w:type="dxa"/>
            <w:vAlign w:val="bottom"/>
          </w:tcPr>
          <w:p>
            <w:pPr>
              <w:spacing w:after="0"/>
              <w:rPr>
                <w:sz w:val="16"/>
                <w:szCs w:val="16"/>
                <w:color w:val="auto"/>
              </w:rPr>
            </w:pPr>
          </w:p>
        </w:tc>
      </w:tr>
      <w:tr>
        <w:trPr>
          <w:trHeight w:val="280"/>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20" w:type="dxa"/>
            <w:vAlign w:val="bottom"/>
          </w:tcPr>
          <w:p>
            <w:pPr>
              <w:spacing w:after="0"/>
              <w:rPr>
                <w:sz w:val="24"/>
                <w:szCs w:val="24"/>
                <w:color w:val="auto"/>
              </w:rPr>
            </w:pPr>
          </w:p>
        </w:tc>
      </w:tr>
      <w:tr>
        <w:trPr>
          <w:trHeight w:val="287"/>
        </w:trPr>
        <w:tc>
          <w:tcPr>
            <w:tcW w:w="44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4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82"/>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40" w:type="dxa"/>
            <w:vAlign w:val="bottom"/>
          </w:tcPr>
          <w:p>
            <w:pPr>
              <w:jc w:val="center"/>
              <w:ind w:right="488"/>
              <w:spacing w:after="0"/>
              <w:rPr>
                <w:sz w:val="20"/>
                <w:szCs w:val="20"/>
                <w:color w:val="auto"/>
              </w:rPr>
            </w:pPr>
            <w:r>
              <w:rPr>
                <w:rFonts w:ascii="Times New Roman" w:cs="Times New Roman" w:eastAsia="Times New Roman" w:hAnsi="Times New Roman"/>
                <w:sz w:val="14"/>
                <w:szCs w:val="14"/>
                <w:color w:val="auto"/>
                <w:w w:val="99"/>
              </w:rPr>
              <w:t>XPO</w:t>
            </w:r>
          </w:p>
        </w:tc>
        <w:tc>
          <w:tcPr>
            <w:tcW w:w="5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74" w:lineRule="exact"/>
        <w:rPr>
          <w:sz w:val="24"/>
          <w:szCs w:val="24"/>
          <w:color w:val="auto"/>
        </w:rPr>
      </w:pPr>
    </w:p>
    <w:p>
      <w:pPr>
        <w:ind w:left="500" w:right="116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line="113" w:lineRule="exact"/>
        <w:rPr>
          <w:sz w:val="20"/>
          <w:szCs w:val="20"/>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0"/>
          <w:szCs w:val="20"/>
          <w:color w:val="auto"/>
        </w:rPr>
      </w:pPr>
    </w:p>
    <w:tbl>
      <w:tblPr>
        <w:tblLayout w:type="fixed"/>
        <w:tblInd w:w="1100" w:type="dxa"/>
        <w:tblCellMar>
          <w:top w:w="0" w:type="dxa"/>
          <w:left w:w="0" w:type="dxa"/>
          <w:bottom w:w="0" w:type="dxa"/>
          <w:right w:w="0" w:type="dxa"/>
        </w:tblCellMar>
      </w:tblP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ind w:right="2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6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24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was $14.4 billion as of June 30, 2025 (the last business day of the registrant’s most recently completed second fiscal quarter), based upon the closing price of the common stock on that date.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30, 2026, there were 117,147,357 shares of the registrant’s common stock, par value $0.001 per share,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Specified portions of the registrant’s proxy statement, which will be filed with the Securities and Exchange Commission pursuant to Regulation 14A in connection with the registrant’s 2026 Annual Meeting of Stockholders (the “Proxy Statement”), are incorporated by reference into Part III of this Annual Report on Form 10-K (the “Annual Report”).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5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7"/>
              </w:rPr>
              <w:t>Business</w:t>
            </w:r>
          </w:p>
        </w:tc>
        <w:tc>
          <w:tcPr>
            <w:tcW w:w="8640" w:type="dxa"/>
            <w:vAlign w:val="bottom"/>
            <w:gridSpan w:val="19"/>
          </w:tcPr>
          <w:p>
            <w:pPr>
              <w:spacing w:after="0"/>
              <w:rPr>
                <w:sz w:val="15"/>
                <w:szCs w:val="15"/>
                <w:color w:val="auto"/>
              </w:rPr>
            </w:pPr>
          </w:p>
        </w:tc>
        <w:tc>
          <w:tcPr>
            <w:tcW w:w="540" w:type="dxa"/>
            <w:vAlign w:val="bottom"/>
            <w:gridSpan w:val="2"/>
          </w:tcPr>
          <w:p>
            <w:pPr>
              <w:jc w:val="center"/>
              <w:ind w:left="371"/>
              <w:spacing w:after="0" w:line="182" w:lineRule="exact"/>
              <w:rPr>
                <w:sz w:val="20"/>
                <w:szCs w:val="20"/>
                <w:color w:val="auto"/>
              </w:rPr>
            </w:pPr>
            <w:r>
              <w:rPr>
                <w:rFonts w:ascii="Times New Roman" w:cs="Times New Roman" w:eastAsia="Times New Roman" w:hAnsi="Times New Roman"/>
                <w:sz w:val="18"/>
                <w:szCs w:val="18"/>
                <w:color w:val="0000FF"/>
                <w:w w:val="88"/>
              </w:rPr>
              <w:t>4</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40" w:type="dxa"/>
            <w:vAlign w:val="bottom"/>
            <w:gridSpan w:val="11"/>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Properties</w:t>
            </w:r>
          </w:p>
        </w:tc>
        <w:tc>
          <w:tcPr>
            <w:tcW w:w="280" w:type="dxa"/>
            <w:vAlign w:val="bottom"/>
            <w:gridSpan w:val="2"/>
          </w:tcPr>
          <w:p>
            <w:pPr>
              <w:spacing w:after="0"/>
              <w:rPr>
                <w:sz w:val="18"/>
                <w:szCs w:val="18"/>
                <w:color w:val="auto"/>
              </w:rPr>
            </w:pPr>
          </w:p>
        </w:tc>
        <w:tc>
          <w:tcPr>
            <w:tcW w:w="8280" w:type="dxa"/>
            <w:vAlign w:val="bottom"/>
            <w:gridSpan w:val="16"/>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1"/>
              </w:rPr>
              <w:t>Legal Proceedings</w:t>
            </w:r>
          </w:p>
        </w:tc>
        <w:tc>
          <w:tcPr>
            <w:tcW w:w="7960" w:type="dxa"/>
            <w:vAlign w:val="bottom"/>
            <w:gridSpan w:val="15"/>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10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820" w:type="dxa"/>
            <w:vAlign w:val="bottom"/>
            <w:gridSpan w:val="3"/>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3"/>
          </w:tcPr>
          <w:p>
            <w:pPr>
              <w:spacing w:after="0"/>
              <w:rPr>
                <w:sz w:val="18"/>
                <w:szCs w:val="18"/>
                <w:color w:val="auto"/>
              </w:rPr>
            </w:pPr>
          </w:p>
        </w:tc>
        <w:tc>
          <w:tcPr>
            <w:tcW w:w="2820" w:type="dxa"/>
            <w:vAlign w:val="bottom"/>
            <w:gridSpan w:val="3"/>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20" w:type="dxa"/>
            <w:vAlign w:val="bottom"/>
            <w:gridSpan w:val="6"/>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20" w:type="dxa"/>
            <w:vAlign w:val="bottom"/>
            <w:gridSpan w:val="3"/>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2"/>
              </w:rPr>
              <w:t>Other Information</w:t>
            </w:r>
          </w:p>
        </w:tc>
        <w:tc>
          <w:tcPr>
            <w:tcW w:w="440" w:type="dxa"/>
            <w:vAlign w:val="bottom"/>
            <w:gridSpan w:val="2"/>
          </w:tcPr>
          <w:p>
            <w:pPr>
              <w:spacing w:after="0"/>
              <w:rPr>
                <w:sz w:val="18"/>
                <w:szCs w:val="18"/>
                <w:color w:val="auto"/>
              </w:rPr>
            </w:pPr>
          </w:p>
        </w:tc>
        <w:tc>
          <w:tcPr>
            <w:tcW w:w="7520" w:type="dxa"/>
            <w:vAlign w:val="bottom"/>
            <w:gridSpan w:val="13"/>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4380" w:type="dxa"/>
            <w:vAlign w:val="bottom"/>
            <w:gridSpan w:val="5"/>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7"/>
          </w:tcPr>
          <w:p>
            <w:pPr>
              <w:spacing w:after="0"/>
              <w:rPr>
                <w:sz w:val="16"/>
                <w:szCs w:val="16"/>
                <w:color w:val="auto"/>
              </w:rPr>
            </w:pPr>
          </w:p>
        </w:tc>
        <w:tc>
          <w:tcPr>
            <w:tcW w:w="10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7"/>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00" w:type="dxa"/>
            <w:vAlign w:val="bottom"/>
            <w:gridSpan w:val="2"/>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40" w:type="dxa"/>
            <w:vAlign w:val="bottom"/>
            <w:gridSpan w:val="4"/>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6120" w:type="dxa"/>
            <w:vAlign w:val="bottom"/>
            <w:gridSpan w:val="9"/>
          </w:tcPr>
          <w:p>
            <w:pPr>
              <w:spacing w:after="0"/>
              <w:rPr>
                <w:sz w:val="16"/>
                <w:szCs w:val="16"/>
                <w:color w:val="auto"/>
              </w:rPr>
            </w:pPr>
          </w:p>
        </w:tc>
        <w:tc>
          <w:tcPr>
            <w:tcW w:w="10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120" w:type="dxa"/>
            <w:vAlign w:val="bottom"/>
            <w:gridSpan w:val="9"/>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97</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1"/>
              </w:rPr>
              <w:t>Signatures</w:t>
            </w:r>
          </w:p>
        </w:tc>
        <w:tc>
          <w:tcPr>
            <w:tcW w:w="820" w:type="dxa"/>
            <w:vAlign w:val="bottom"/>
            <w:gridSpan w:val="4"/>
          </w:tcPr>
          <w:p>
            <w:pPr>
              <w:spacing w:after="0"/>
              <w:rPr>
                <w:sz w:val="18"/>
                <w:szCs w:val="18"/>
                <w:color w:val="auto"/>
              </w:rPr>
            </w:pPr>
          </w:p>
        </w:tc>
        <w:tc>
          <w:tcPr>
            <w:tcW w:w="7740" w:type="dxa"/>
            <w:vAlign w:val="bottom"/>
            <w:gridSpan w:val="14"/>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98</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634365</wp:posOffset>
            </wp:positionV>
            <wp:extent cx="3257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-50800</wp:posOffset>
            </wp:positionV>
            <wp:extent cx="6591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this Annual Report, "we," "our," "us," "XPO, Inc.," “XPO,” and "the Company" refer to XPO, Inc. and its consolidated subsidiaries, unless the context requires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future results, levels of activity, performance or achievements to be materially different from our expected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XPO, Inc., together with its subsidiaries, is a leading provider of freight transportation services, with company-specific avenues for value creation. We use our proprietary technology to move goods efficiently through supply chains for approximately 55,000 customers in North America and Europe. As of December 31, 2025, we had approximately 37,000 employees and 592 locations in 17 countries.</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company has two reportable segments: North American Less-Than-Truckload (“LTL”), the largest component of our business; and European Transportation.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American LTL Segment</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LTL in North America is a bedrock industry providing a critical service to the economy, with secular growth drivers, a favorable pricing environment and an established competitive landscape. XPO has one of the largest LTL networks in North America, with approximately 9% share of the U.S. market, estimated to be $53 billion in 2024. For the full year 2025, we moved approximately 16 billion pounds of freight through our network with a customer-focused organization of truck drivers, service center teams and sales professionals, facilitated by our proprietary technology.</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network serves approximately 37,000 shippers with critical geographic density and day-definite domestic services to approximately 99% of U.S. zip codes, as well as cross-border services to Mexico, Canada and the Caribbean. We operate the business to high service standards for on-time delivery and damage-free transport,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balancing our network to leverage our fixed costs. In 2025, we developed new linehaul models that use artificial intelligence (AI) to improve the efficiency of our freight flows, piloted routing innovations for pickup-and-delivery operations and continued to improve productivity with real-time labor analytics at the service center level. Our proprietary developments in intelligent automation and AI-enabled decision-making are directly enhancing profitability.</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LTL business historically has generated a high return on invested capital and robust free cash flow, funding our ongoing investments in people, capacity and technology. For example, since implementing our growth plan in the fourth quarter of 2021, we have added more than 2,000 net new doors to our network, expanding our presence in high-growth markets while improving our operating ratio.</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created a strategic growth opportunity by building more than 30% excess door capacity into our network. Additionally, we invest in advancing a host of XPO-specific initiatives that are largely independent of the macroeconomic environment. Our trailer manufacturing facility and commercial truck driver schools are self-reliant competitive advantages for our company, particularly when industry conditions make it difficult to source equipment or drivers.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positions us to capture profitable market share gains and drive higher incremental margins when market conditions improve. LTL industry capacity is currently constrained below pre-pandemic levels in North America, and we believe that our combination of capacity and technology puts us in a unique position to respond quickly to rebounds in demand when the freight recession eases.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our proprietary, AI-driven capabilities to become increasingly essential to how we operate, compete and create value in all these areas. For more information, see “Proprietary Technology and Intellectual Property”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Transportation Segment</w:t>
      </w:r>
    </w:p>
    <w:p>
      <w:pPr>
        <w:spacing w:after="0" w:line="17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XPO has a unique pan-European transportation platform with leading positions in key geographies and deep expertise in consumer, trade and industrial markets. We are the #1 full truckload broker and the #1 pallet network (LTL) provider in France; the #1 full truckload broker and the #1 LTL provider in Iberia (Spain and Portugal); and, in the U.K., we are a market leader in warehousing, a top-tier dedicated truckload provider and have the largest single-owner LTL network. Our extensive customer base includes many sector leaders that have long-tenured relationships with us.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full range of freight services in Europe encompasses dedicated truckload, LTL, full truckload brokerage, warehousing, managed transportation, last mile delivery, freight forwarding and, increasingly, multimodal solutions designed for specific customer needs. We use our proprietary technology to manage these services efficiently within our digital ecosystem in Europe.</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previously announced authorization by our Board of Directors to divest the European business remains in effect. There can be no assurance that the divestiture will occur, or of the terms or timing of a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 and Intellectual Property</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One of the ways in which we deliver superior service to our customers is by empowering our employees with technology. Our industry is evolving, and customers want to de-risk their supply chains by forming relationships with reliable service providers that have invested in innovation.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built a highly scalable ecosystem on the cloud that deploys our software consistently across our operating footprint. In our North American LTL business, the caliber of our technology is mission-critical to our success; it optimizes pricing, linehaul, pickup-and-delivery and dock operations — the main components of the service we provide. We have been investing in proprietary AI technology and are implementing these initiatives across a number of high-impact applications where intelligent automation and better decision making are directly enhancing profitability. We see AI playing a major role in how we operate, price our services, compete, and create value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 LTL network of our scale has hundreds of thousands of activities underway at any given time, all managed on our technology. In 2025, we moved approximately 16 billion pounds of freight 772 million miles, including moving linehaul freight an average of 2.5 million miles a day.</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intelligent route-building, we can reduce empty miles in our linehaul network and improve load factor. Our proprietary optimization models analyze massive amounts of data including volume, capacity, and dimensions and generate instructions to maximize trailer utilization, reduce cost, and enhance service. We use our real-time visualization tools to drive efficiencies with pickups and deliveries and developed a robust pricing platform for contractual account management.</w:t>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XPO Smart® </w:t>
      </w:r>
      <w:r>
        <w:rPr>
          <w:rFonts w:ascii="Times New Roman" w:cs="Times New Roman" w:eastAsia="Times New Roman" w:hAnsi="Times New Roman"/>
          <w:sz w:val="18"/>
          <w:szCs w:val="18"/>
          <w:color w:val="auto"/>
        </w:rPr>
        <w:t>is our proprietary suite of intelligent tools and analytics that self-adjusts site by site to drive productivity across our LTL service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Our software incorporates dynamic data science, predictive analytics and machine learning to aid our managers in workflow decision-making. We use XPO Smart® to improve our labor in a safe, disciplined and cost-effective manner.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“XPO” trademark, service mark, and trade name are essential to our business and critical to our success. XPO, XPO Smart, and Your Freight First, among others, are trademarks and service marks for which registrations, or applications for registration, are on file, as applicable with the United States Patent and Trademark Office. We believe these trademarks, service marks, and trade names are important components of our marketing strategy, and seek to protect those proprietary marks and trade names relevant to our business. For some marks, we have also registered or are pursuing registration in certain other countries.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Information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innovation strategy is focused on providing highly efficient supply chain services that use automation and data science to create value for our shareholders and customers. We use our proprietary technology to provide reliable freight transportation services and make the most of the resources within our company.</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many of our customers, the transportation needs of their business account for a significant portion of their value chain emissions. Our technology can coordinate the movement of customer goods in ways that are more efficient. Some of our key priorities in this regard are optimizing the utilization of truck and trailer capacity; streamlining local and linehaul freight flows; and, as described further below, investing in a modern, fuel-efficient fleet.</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course of our business, customers, shareholders and other stakeholders ask us to disclose our emissions data and sustainability strategies and outcomes. Our Nominating, Corporate Governance and Sustainability Committee of our Board of Directors provides oversight of, and engagement with, our management team on sustainability strategies and disclosures, ensuring our activities meet the evolving needs and expectations of our shareholders and other stakeholders. We are proud of our sustainability efforts and initiatives, and note that in 2025, our European business was awarded the prestigious EcoVadis Gold Medal for the second year in a row for Corporate Social Responsibility strategy and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 Fleet</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ongoing fleet initiatives companywide include modernizing our tractors and trailers; deploying cleaner fuels where practical, such as natural gas, biodiesel, renewable diesel, biogas, hydrotreated vegetable oil and electricity; expanding our use of data and analytics to improve the efficiency of routing, loading and handling freight; and exploring the commercial viability of alternative fuel vehicles.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invest in tractors with 15-liter engines and automatic transmissions that improve reliability and fuel economy, while lowering emissions and extending engine life. In 2025, we purchased over 1,200 tractors in North America, reducing our average tractor age to approximately 3.7 years. We continue to calibrate our vehicles to improve fuel efficiency by implementing improvements such as equipping our trucks with aero packages that reduce drag and improve miles per gallon, and utilizing SmartWay-approved low-resistance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Europe, our diesel road fleet is over 91% compliant with Euro 6 standards, and we have a natural gas-powered fleet of 280 trucks serving customers in France, the U.K., Spain and Portugal. Additionally, we have environmentally-sound fleet initiatives ranging from government-approved mega-trucks in Spain, which can transport more freight with fewer trips, to fully electric vehicles for “last mile” and “regional” (220 miles range) deliveries. We are also testing the use of duo-trailer vehicles that have the potential to reduce CO2 emissions, compared with using traditional trucks for the same freight.</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Electric vehicles show promise in commercial transport applications in Europe as an alternative to diesel, particularly in urban and regional areas. Our fleet experts are working with manufacturers of larger electric trucks, and we have completed pilot programs to advance our understanding of the commercial viability of these vehicles. In Europe, we have more than 150 all-electric trucks currently deployed supported by the existing and ongoing installation of more than 350 electric charging stations at our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expertise in the circular economy helps us to continually improve the efficiency of our facilities. We have ongoing initiatives underway to install LED lighting in our buildings, right-size packaging and incorporate other environmentally friendly practices in our operations. We also reduce waste by recycling or reusing materials where feasible, including recycling 86% of the materials in trailers at the end of their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strategy is to help customers move goods efficiently through their supply chains by using our transportation capacity, organizational strengths and proprietary technology to deliver superior outcomes at scale. We achieve this across the company by providing services that are both highly responsive to customer goals, such as mitigating environmental impacts over time, and proactive in identifying targets for improvement.</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North America, our comprehensive LTL growth plan focuses on four levers of value creation that underpin the interests of our shareholders and customers:</w:t>
      </w:r>
    </w:p>
    <w:p>
      <w:pPr>
        <w:spacing w:after="0" w:line="106" w:lineRule="exact"/>
        <w:rPr>
          <w:sz w:val="20"/>
          <w:szCs w:val="20"/>
          <w:color w:val="auto"/>
        </w:rPr>
      </w:pPr>
    </w:p>
    <w:p>
      <w:pPr>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best-in-class service. </w:t>
      </w:r>
      <w:r>
        <w:rPr>
          <w:rFonts w:ascii="Times New Roman" w:cs="Times New Roman" w:eastAsia="Times New Roman" w:hAnsi="Times New Roman"/>
          <w:sz w:val="18"/>
          <w:szCs w:val="18"/>
          <w:color w:val="auto"/>
        </w:rPr>
        <w:t>We are committed to building a premium customer service organization by aligning employee incentives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accountability with tangible quality-of-service results. In 2025, we improved on-time performance in every quarter versus 2024 and delivered a damage claims ratio of 0.3%, representing a major improvement from 1.2% in the fourth quarter of 2021. Our ongoing investments in employee training programs, state-of-the-art equipment and technological enhancements support our team in continuously improving service quality and productivity.</w:t>
      </w:r>
    </w:p>
    <w:p>
      <w:pPr>
        <w:spacing w:after="0" w:line="12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in network capacity and enhancements for the long-term. </w:t>
      </w:r>
      <w:r>
        <w:rPr>
          <w:rFonts w:ascii="Times New Roman" w:cs="Times New Roman" w:eastAsia="Times New Roman" w:hAnsi="Times New Roman"/>
          <w:sz w:val="18"/>
          <w:szCs w:val="18"/>
          <w:color w:val="auto"/>
        </w:rPr>
        <w:t>The targeted investments we make enable us to onboard more freight and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network for the future, while further enhancing service and fluidity. In 2025, approximately 60% of our capital expenditures were deployed to acquire more than 3,600 trailers and 1,200 tractors, increasing the capacity of our fleet. Our average tractor age at year-end 2025 was 3.7 years, compared with 5.9 years at year-end 2022. Since the launch of our growth plan in late 2021, we have added more than 19,100 trailers and 6,000 tractors to our fleet.</w:t>
      </w:r>
    </w:p>
    <w:p>
      <w:pPr>
        <w:spacing w:after="0" w:line="129" w:lineRule="exact"/>
        <w:rPr>
          <w:rFonts w:ascii="Times New Roman" w:cs="Times New Roman" w:eastAsia="Times New Roman" w:hAnsi="Times New Roman"/>
          <w:sz w:val="18"/>
          <w:szCs w:val="18"/>
          <w:color w:val="auto"/>
        </w:rPr>
      </w:pPr>
    </w:p>
    <w:p>
      <w:pPr>
        <w:ind w:left="660" w:right="160" w:hanging="328"/>
        <w:spacing w:after="0" w:line="290"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Accelerate yield growth</w:t>
      </w:r>
      <w:r>
        <w:rPr>
          <w:rFonts w:ascii="Times New Roman" w:cs="Times New Roman" w:eastAsia="Times New Roman" w:hAnsi="Times New Roman"/>
          <w:sz w:val="17"/>
          <w:szCs w:val="17"/>
          <w:color w:val="auto"/>
        </w:rPr>
        <w:t>. We are intently focused on customer service excellence as our most powerful lever to grow yield, which we measure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gross revenue per hundredweight, excluding fuel surcharges. Our full-year yield growth of 6.0%, compared with 2024, was primarily driven by our service improvements and, to a lesser extent, by our expansion of accessorial services and revenue growth generated from local customers.</w:t>
      </w:r>
    </w:p>
    <w:p>
      <w:pPr>
        <w:spacing w:after="0" w:line="101" w:lineRule="exact"/>
        <w:rPr>
          <w:rFonts w:ascii="Times New Roman" w:cs="Times New Roman" w:eastAsia="Times New Roman" w:hAnsi="Times New Roman"/>
          <w:sz w:val="17"/>
          <w:szCs w:val="17"/>
          <w:color w:val="auto"/>
        </w:rPr>
      </w:pPr>
    </w:p>
    <w:p>
      <w:pPr>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cost efficiencies. </w:t>
      </w:r>
      <w:r>
        <w:rPr>
          <w:rFonts w:ascii="Times New Roman" w:cs="Times New Roman" w:eastAsia="Times New Roman" w:hAnsi="Times New Roman"/>
          <w:sz w:val="18"/>
          <w:szCs w:val="18"/>
          <w:color w:val="auto"/>
        </w:rPr>
        <w:t>We aim to achieve continuous improvements in cost efficiency by optimizing our variable costs, overhead and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transportation. Our progress with labor productivity and linehaul insourcing highlights the important role of artificial intelligence in sustaining a strong cost performance — in 2025, our managers used AI-based labor planning algorithms to improve productivity year-over-year, and we managed our network more fluidly with intelligent linehaul models, enabling us to reduce our reliance on third-party linehaul carriers ahead of plan. With more linehaul miles managed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549275</wp:posOffset>
            </wp:positionV>
            <wp:extent cx="3257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248"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internally, we can gain greater control over service quality and protect our cost structure against rising truckload rates when the current freight recession ends. For the full year 2025, we lowered our cost of third-party purchased transportation by over 50% compared with 2024 and reduced outsourced linehaul miles as a percentage of total linehaul miles to 5.1% in the fourth quarter. This is one of many ways in which we use our technology to manage our network synergistically and accelerate incremental margin growth over time.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made considerable progress in each of these areas since launching our growth plan in the fourth quarter of 2021, and we believe we are still in the early stage of realizing our plan’s full potential.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provide freight transportation services to approximately 55,000 customers ranging in size from small, entrepreneurial businesses to Fortune 500 companies. Our customers span every major industry, giving us valuable strongholds in verticals that are fundamental to the economy, such as industrial and manufacturing, retail and e-commerce, food and beverage, and consumer goods. In 2025, we generated approximately 59% of revenue in North America, derived almost entirely from the U.S., 16% in France, 14% in the U.K. and 11% in the rest of Europe.</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diversification of our customer base minimizes concentration risk. Globally, in 2025, our top five customers combined accounted for approximately 8% of revenue, with the largest customer accounting for less than 3% of revenue. In our North American LTL segment, in 2025, our top five customers combined accounted for less than 11% of revenue, with the largest customer accounting for approximately 4%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operate in highly competitive marketplaces where customers can choose from among many different transportation providers with distinct value propositions. We compete on quality and reliability of service, scope and scale of operations, expertise, price, and our technological capabilities, which are growing in importance as a differentiator.</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competitors in North America include local, regional and national LTL carriers that offer the same services we provide, such as Old Dominion Freight Line and Saia. Our competitors in Europe vary based on type of service; for example, the competitive landscape for LTL transportation differs from that of dedicated or brokered full truckload transportation or multimodal solutions. Due to the competitive nature of our marketplaces, we place equal importance on strengthening existing customer relationships and forging new relationships.</w:t>
      </w:r>
    </w:p>
    <w:p>
      <w:pPr>
        <w:spacing w:after="0" w:line="12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ability to make ongoing investments in the business is one of the most compelling competitive strengths of XPO. It ensures that we can operate consistently throughout changes in market conditions and deliver what our customers value most — reliable capacity, technology-driven efficiencies and problem-solving expertise. We believe that we are in a strong position to create value from all levels of demand for LTL services, and to benefit from secular industrial and retail trends in all parts of the cycle, such as the trend toward shippers increasingly outsourcing freight transportation, the shift toward more frequent LTL shipments versus full truckload freight in some sectors, and an increase in the nearshoring of manufacturing activity to North America.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operations are regulated by various governmental agencies in the U.S. and in other countries where we conduct business. These regulations impact us directly and indirectly because they regulate third-party transportation providers with which we arrange and/or contract to transport freight for our customers.</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Regulations Affecting Motor Carriers and Transportation Brokers. </w:t>
      </w:r>
      <w:r>
        <w:rPr>
          <w:rFonts w:ascii="Times New Roman" w:cs="Times New Roman" w:eastAsia="Times New Roman" w:hAnsi="Times New Roman"/>
          <w:sz w:val="18"/>
          <w:szCs w:val="18"/>
          <w:color w:val="auto"/>
        </w:rPr>
        <w:t>In the U.S., our subsidiaries that operate as motor carriers and freight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brokers are licensed by the Federal Motor Carrier Safety Administration (“FMCSA”) of the U.S. Department of Transportation (“DOT”). Our motor carrier subsidiaries and the third-party motor carriers we contract with in the U.S. must comply with the safety and operations regulations of the DOT. Like all motor carriers, XPO must participate in the FMCSA’s Compliance Safety Accountability (“CSA”) program, which uses a Safety Measurement System (“SMS”) to rank motor carriers on seven categories of safety-related data, known as Behavioral Analysis and Safety Improvement Categories (“BASICs”), including those related to,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548640</wp:posOffset>
            </wp:positionV>
            <wp:extent cx="3257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limitation, controlled substances and alcohol, hours-of-service compliance, vehicle maintenance, hazardous materials compliance, driver fitness, accidents or crashes, and unsafe driving. We are also subject to a variety of vehicle registration and licensing requirements in certain states and local jurisdictions where we operate, as are the third-party transportation providers with which we contract. In foreign jurisdictions where we operate, our operations are regulated by the appropriate governmental authorities.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federal and state agencies, such as the U.S. Environmental Protection Agency (“EPA”), the U.S. Food and Drug Administration (“FDA”), the U.S. Department of Homeland Security (“DHS”) and the California Air Resources Board (“CARB”), also regulate our equipment and operations. We may become subject to new or more restrictive regulations relating to emissions, drivers’ hours-of-service, onboard reporting of operations, cargo security and other regulations affecting safety or operating methods. Regulatory requirements, and changes to the regulatory environment, may affect our business or the economics of the transportation industry by requiring changes in operating practices that could impact the demand for, and increase the costs of, providing transportation services.</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Regulations. </w:t>
      </w:r>
      <w:r>
        <w:rPr>
          <w:rFonts w:ascii="Times New Roman" w:cs="Times New Roman" w:eastAsia="Times New Roman" w:hAnsi="Times New Roman"/>
          <w:sz w:val="18"/>
          <w:szCs w:val="18"/>
          <w:color w:val="auto"/>
        </w:rPr>
        <w:t>We are subject to various environmental laws and regulations in the jurisdictions where we operate. In the U.S., these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deal with the hauling, handling and disposal of hazardous materials, emissions from vehicles, engine-idling, storage tanks (fuel, oil, antifreeze and other products) and related fuel spillage and seepage, discharge and retention of storm water, and other environmental matters. We may be responsible for the cleanup of a spill or other incident involving hazardous materials caused by our business. In the past, we have been responsible for the cost to clean up diesel fuel spills caused by traffic accidents or other events for which we are legally responsible, and none of these incidents materially affected our business or operations. We generally transport only hazardous materials rated as low-to-medium-risk, and only a small percentage of our total loads contain hazardous materials. We do not know of any existing environmental law, regulation 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13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Regulations. </w:t>
      </w:r>
      <w:r>
        <w:rPr>
          <w:rFonts w:ascii="Times New Roman" w:cs="Times New Roman" w:eastAsia="Times New Roman" w:hAnsi="Times New Roman"/>
          <w:sz w:val="17"/>
          <w:szCs w:val="17"/>
          <w:color w:val="auto"/>
        </w:rPr>
        <w:t>We are subject to a variety of other U.S. and foreign laws and regulations, including, but not limited to, the Foreign Corrupt Practices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and other anti-bribery and anti-corruption statutes, and trade compliance laws. We are also subject to state and U.S. federal laws and regulations addressing some types of cargo transported or stored by our subsidiaries, or transported pursuant to a government contract or subcontract. Violations or noncompliance could result in significant fines from governmental authorities and negatively impact our reputation,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insurance for commercial automobile and trucker’s liability, commercial general liability, cargo legal liability, workers’ compensation and employers’ liability, umbrella and excess liability, cyber risk, and property coverage with coverage limits, deductibles and self-insured retention levels that we believe are reasonable given the varying historical frequency, severity and timing of claims.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revenue and profitability in the first and fourth quarters of the calendar year are typically lower than in the second and third quarters. The productivity of our transportation fleet historically decreases during the winter season, as it does for the industry in general, because inclement weather impedes transport operations. Additionally, we believe that many of our customers experience a post-holiday decline in demand for their products, contributing to the historical decrease in industry freight shipments in the first quarter. It is not possible to reliably predict whether our historical revenue and profitability trends will continue to occur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805180</wp:posOffset>
            </wp:positionV>
            <wp:extent cx="3257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people-driven company with a strong customer service culture, our ability to be an employer of choice and a business partner of choice are intertwined. We have an unwavering commitment to a workplace culture that places a premium on safety, as well as professional growth, engagement and competitive total compensation and benefits for our employees. These and many other aspects of our culture help us attract and retain a high caliber of talent to our organization.</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Chief Human Resources Officer (“CHRO”) has primary responsibility for our human capital management strategy, including recruiting, developing, engaging and retaining employees who share our work ethic and values. The CHRO is also responsible for the design of employee compensation and benefits programs.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our employment culture, our success relies on our company’s robust governance structure, our Code of Business Ethics and the importance we place on being a good corporate citizen. Ultimately, our decisions and actions are guided by XPO’s values — overachieve for customers, be safe, be accountable, always improve, respect each other and be world-class in every way.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Base Profile</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December 31, 2025 data, XPO has locations in 17 countries, with approximately 22,500 employees in North America, 14,400 employees in Europe and 400 employees in Asia, supplemented by approximately 3,000 temporary workers.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geography, approximately 60% of our global employees are based in North America, 39% in Europe and 1% in Asia. By job description, approximately 63% of our employees work as drivers and dockworkers, 25% as operations and facility workers, and the remainder in support roles and other positions. In North America, approximately 85% of our employees have hourly roles and 15% have salaried positions.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By gender, approximately 15% of our global employees are women — this increases to 33% when excluding drivers, dockworkers and technicians. In North America, 50% of our professional management positions are held by women.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2025, approximately 60% of our newly hired U.S. employees self-identified as ethnically or racially diverse and approximately 45% of our total U.S. employee population was ethnically or racially diverse. This includes 20% of U.S. employees who self-identified as Black or African American, which is over six percentage points higher than the U.S. population, based on the most recent census data.</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our total workforce, the absolute number of females in managerial positions grew by approximately 5% cumulatively from 2022 to 2025; the absolute number of ethnically or racially diverse employees in managerial positions grew by 9% cumulatively in the same period. Ethnically or racially diverse employees earned 32% of managerial promotions in 2025 and held 16% of executive leadership positions (vice president and above), 29% of professional management roles and 33% of operational management roles.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none of our employees were represented by a union in North America and 85% of our employees in Europe were covered by a collective bargaining or similar agreement, consistent with our December 31, 2024 position.</w:t>
      </w:r>
    </w:p>
    <w:p>
      <w:pPr>
        <w:spacing w:after="0" w:line="108"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Throughout 2025, we continued to make substantial investments in direct employee communications, conducting quarterly engagement surveys and holding over 9,000 roundtable discussions and safety and engagement committee meetings across our North American LTL network. The employee feedback we receive is often instrumental in driving new initiatives that strengthen our culture of respect, appreciation and opportunity.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physical and emotional safety of our employees is paramount, and we have numerous protocols in place to ensure a safe work environment. We developed our Road to Zero program to decrease occupational injuries and illnesses through education, mentoring, communication and on-the-job training that instills awareness and reduces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risk. These same priorities are emphasized when we train new commercial driver candidates at our in-house, LTL driver training schools nationwide, where veteran XPO driver-instructors reinforce our safety culture.</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part of Road to Zero, we track accident-free miles and recognize XPO drivers who have achieved million-mile safety milestones. As of December 31, 2025, approximately 2,550 of our LTL drivers have achieved a safety designation of at least one million accident-free miles, with 211 of these drivers meeting this threshold in 2025. Since the inception of Road to Zero in 2022, we have had four drivers reach four million accident-free miles during their career, which is the highest driver safety record in XPO’s history.</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physical well-being, we consider emotional well-being to be an important part of workplace safety. Our Code of Business Ethics mandates zero tolerance of discrimination, harassment, retaliation, bullying and other unacceptable behaviors. We want our employees to feel welcome at work, and we give them multiple channels to report any incidents. This includes an open-door policy that encourages employees to speak with any supervisor, manager or member of the HR team, and our EthicsPoint hotline and website for reporting incidents anonymously.</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diligent about evaluating new programs as they become available to support the physical and mental health of our employees. Recently, we introduced new options for virtual physical therapy and virtual primary care and enhanced our employee assistance programs specifically for mental health.</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 and Development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XPO executive leadership regularly solicits feedback from employees to gauge our progress, assess satisfaction and encourage constructive suggestions. Each quarter, we ask our “wired” employees to submit their input through an anonymous online satisfaction survey. In the U.S., we also conduct an annual satisfaction survey of our “non-wired” frontline employees and hold regular roundtables and town halls. Based on employee feedback, we develop action plans at the business unit and facility levels to implement targeted improvements.</w:t>
      </w:r>
    </w:p>
    <w:p>
      <w:pPr>
        <w:spacing w:after="0" w:line="1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XPO was named a 2025 “Top Company for Women to Work for in Transportation – Elite 30” by the Women in Trucking Association, a 2025 “4 Star Employer” by VETS Index, and a “2025 Military Friendly Employer – Gold Ranking” by Viqtory.</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Additionally, we foster career development at all levels to recruit and retain high-caliber employees. Our career development infrastructure includes the following areas of focus, among others:</w:t>
      </w:r>
    </w:p>
    <w:p>
      <w:pPr>
        <w:spacing w:after="0" w:line="10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Recruitment. </w:t>
      </w:r>
      <w:r>
        <w:rPr>
          <w:rFonts w:ascii="Times New Roman" w:cs="Times New Roman" w:eastAsia="Times New Roman" w:hAnsi="Times New Roman"/>
          <w:sz w:val="18"/>
          <w:szCs w:val="18"/>
          <w:color w:val="auto"/>
        </w:rPr>
        <w:t>We use an array of channels and recruiting partnerships to attract qualified job candidates. Our goal is to identify candidates who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skills our customers need, or the desire to learn those skills.</w:t>
      </w:r>
    </w:p>
    <w:p>
      <w:pPr>
        <w:spacing w:after="0" w:line="10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Interactive Hiring. </w:t>
      </w:r>
      <w:r>
        <w:rPr>
          <w:rFonts w:ascii="Times New Roman" w:cs="Times New Roman" w:eastAsia="Times New Roman" w:hAnsi="Times New Roman"/>
          <w:sz w:val="18"/>
          <w:szCs w:val="18"/>
          <w:color w:val="auto"/>
        </w:rPr>
        <w:t>Our integrated approach to talent development begins with our robust digital recruitment platform, which includes online job previews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pre-employment assessments for key positions. Our platform provides an efficient way for candidates to learn about XPO at their convenience and explore positions that match their interests and abilities. This is a more stress-free entry into the recruitment process for job candidates, and improves both the onboarding experience and retention rates for new hires.</w:t>
      </w:r>
    </w:p>
    <w:p>
      <w:pPr>
        <w:spacing w:after="0" w:line="126"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XPO Accelerate. </w:t>
      </w:r>
      <w:r>
        <w:rPr>
          <w:rFonts w:ascii="Times New Roman" w:cs="Times New Roman" w:eastAsia="Times New Roman" w:hAnsi="Times New Roman"/>
          <w:sz w:val="18"/>
          <w:szCs w:val="18"/>
          <w:color w:val="auto"/>
        </w:rPr>
        <w:t>Launched in September 2022, XPO Accelerate provides high-potential leaders in service center, sales and support staff roles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skills necessary to take on more senior leadership roles. This program helps retain and promote promising leadership talent by building relevant strategic skills.</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Frontline Leadership Training. </w:t>
      </w:r>
      <w:r>
        <w:rPr>
          <w:rFonts w:ascii="Times New Roman" w:cs="Times New Roman" w:eastAsia="Times New Roman" w:hAnsi="Times New Roman"/>
          <w:sz w:val="18"/>
          <w:szCs w:val="18"/>
          <w:color w:val="auto"/>
        </w:rPr>
        <w:t>XPO’s Freight Leadership Certification and Freight Operations Onboarding webinars support newly hired frontline leaders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they transition into their roles. The programs equip employees with fundamental skills to succeed in freight operations, including online learning and weekly instructor-led webinars.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LTL Driver Training Schools. </w:t>
      </w:r>
      <w:r>
        <w:rPr>
          <w:rFonts w:ascii="Times New Roman" w:cs="Times New Roman" w:eastAsia="Times New Roman" w:hAnsi="Times New Roman"/>
          <w:sz w:val="18"/>
          <w:szCs w:val="18"/>
          <w:color w:val="auto"/>
        </w:rPr>
        <w:t>XPO’s commercial truck driver training schools are an essential channel for recruiting new drivers to XPO,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new careers for employees currently in other roles, such as dockworkers. Trainees attend our driver school tuition-free, receive pay while training and have an opportunity for full-time employment with XPO after earning a CDL-A license. We also offer employees tuition reimbursement of up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542925</wp:posOffset>
            </wp:positionV>
            <wp:extent cx="3257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for any approved non-XPO driver training school. In 2025, we graduated over 400 students from our LTL driver training locations.</w:t>
      </w:r>
    </w:p>
    <w:p>
      <w:pPr>
        <w:spacing w:after="0" w:line="16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Training. </w:t>
      </w:r>
      <w:r>
        <w:rPr>
          <w:rFonts w:ascii="Times New Roman" w:cs="Times New Roman" w:eastAsia="Times New Roman" w:hAnsi="Times New Roman"/>
          <w:sz w:val="18"/>
          <w:szCs w:val="18"/>
          <w:color w:val="auto"/>
        </w:rPr>
        <w:t>Well-maintained tractors and trailers are an essential component of both safety and customer service in LTL transportation. Our in-house maintenance training school enhances technical skills for new hires and provides continuous learning for our field maintenance personnel to stay abreast of maintenance developments and warranty recovery requirements.</w:t>
      </w:r>
    </w:p>
    <w:p>
      <w:pPr>
        <w:spacing w:after="0" w:line="119"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XPO University</w:t>
      </w:r>
      <w:r>
        <w:rPr>
          <w:rFonts w:ascii="Times New Roman" w:cs="Times New Roman" w:eastAsia="Times New Roman" w:hAnsi="Times New Roman"/>
          <w:sz w:val="18"/>
          <w:szCs w:val="18"/>
          <w:color w:val="auto"/>
        </w:rPr>
        <w:t>. Our learning and development platform, XPO University, delivers over 22,000 online and in-person learning and assessment programs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employees in North America and Europe in areas such as onboarding, management training, technology, compliance and safety and professional skills development. In 2025, over 380,000 training hours were completed by our employees worldwide.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Expansive Total Rewards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total compensation package is instrumental in providing a superior employment experience, and conveys how much we appreciate each employee’s choice of XPO. The pillars of the expansive total rewards we offer are:</w:t>
      </w:r>
    </w:p>
    <w:p>
      <w:pPr>
        <w:spacing w:after="0" w:line="106"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Competitive Wages and Jobs Creation. </w:t>
      </w:r>
      <w:r>
        <w:rPr>
          <w:rFonts w:ascii="Times New Roman" w:cs="Times New Roman" w:eastAsia="Times New Roman" w:hAnsi="Times New Roman"/>
          <w:sz w:val="18"/>
          <w:szCs w:val="18"/>
          <w:color w:val="auto"/>
        </w:rPr>
        <w:t>In addition to our annual merit and hourly pay increases that broadly cover our employee population in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over 1,000 eligible LTL employees at over 225 locations received additional wage increases throughout 2025.</w:t>
      </w:r>
    </w:p>
    <w:p>
      <w:pPr>
        <w:spacing w:after="0" w:line="10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Comprehensive Benefits. </w:t>
      </w:r>
      <w:r>
        <w:rPr>
          <w:rFonts w:ascii="Times New Roman" w:cs="Times New Roman" w:eastAsia="Times New Roman" w:hAnsi="Times New Roman"/>
          <w:sz w:val="18"/>
          <w:szCs w:val="18"/>
          <w:color w:val="auto"/>
        </w:rPr>
        <w:t>We offer an extensive suite of benefits to support the health and well-being of our employees and their families, often reflecting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responsiveness to employee feedback. In the U.S., examples include:</w:t>
      </w:r>
    </w:p>
    <w:p>
      <w:pPr>
        <w:spacing w:after="0" w:line="104" w:lineRule="exact"/>
        <w:rPr>
          <w:sz w:val="20"/>
          <w:szCs w:val="20"/>
          <w:color w:val="auto"/>
        </w:rPr>
      </w:pPr>
    </w:p>
    <w:p>
      <w:pPr>
        <w:ind w:left="660" w:right="2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Pregnancy Care Policy: </w:t>
      </w:r>
      <w:r>
        <w:rPr>
          <w:rFonts w:ascii="Times New Roman" w:cs="Times New Roman" w:eastAsia="Times New Roman" w:hAnsi="Times New Roman"/>
          <w:sz w:val="18"/>
          <w:szCs w:val="18"/>
          <w:color w:val="auto"/>
        </w:rPr>
        <w:t>Guarantees up to 80 hours of paid prenatal medical leave and certain automatic accommodations, plus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significant accommodations while preserving existing wage rates.</w:t>
      </w:r>
    </w:p>
    <w:p>
      <w:pPr>
        <w:spacing w:after="0" w:line="104"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Family Bonding Policy: </w:t>
      </w:r>
      <w:r>
        <w:rPr>
          <w:rFonts w:ascii="Times New Roman" w:cs="Times New Roman" w:eastAsia="Times New Roman" w:hAnsi="Times New Roman"/>
          <w:sz w:val="18"/>
          <w:szCs w:val="18"/>
          <w:color w:val="auto"/>
        </w:rPr>
        <w:t>Provides up to an additional six weeks of 100% paid time off for the primary caregiver of a newborn or newly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child, and two weeks of 100% paid time off for a secondary caregiver.</w:t>
      </w:r>
    </w:p>
    <w:p>
      <w:pPr>
        <w:spacing w:after="0" w:line="104"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Tuition Reimbursement: </w:t>
      </w:r>
      <w:r>
        <w:rPr>
          <w:rFonts w:ascii="Times New Roman" w:cs="Times New Roman" w:eastAsia="Times New Roman" w:hAnsi="Times New Roman"/>
          <w:sz w:val="18"/>
          <w:szCs w:val="18"/>
          <w:color w:val="auto"/>
        </w:rPr>
        <w:t>Provides up to $5,250 of annual reimbursement for continuing education, academic discounts in a wide variety of fields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online study and tuition-free commercial driver training.</w:t>
      </w:r>
    </w:p>
    <w:p>
      <w:pPr>
        <w:spacing w:after="0" w:line="104"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Benefits: </w:t>
      </w:r>
      <w:r>
        <w:rPr>
          <w:rFonts w:ascii="Times New Roman" w:cs="Times New Roman" w:eastAsia="Times New Roman" w:hAnsi="Times New Roman"/>
          <w:sz w:val="18"/>
          <w:szCs w:val="18"/>
          <w:color w:val="auto"/>
        </w:rPr>
        <w:t>Includes virtual preventive health care, pelvic health management, physical therapy services and diabetes testing supplies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cost to enrolled employees, as well as supplemental insurance, short-term loans and a personalized Total Rewards Statement.</w:t>
      </w:r>
    </w:p>
    <w:p>
      <w:pPr>
        <w:spacing w:after="0" w:line="10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In Europe, XPO’s benefit programs vary by country and are tailored to the needs of local markets. Examples include comprehensive health and risk insurances, employee assistance programs covering mental, physical and financial well-being, commercial driver training, vocational coaching and training, and a fully flexible benefits program in the U.K.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Outreach</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XPO continues to support organizations that reflect the interests of our employees and the communities where we operate. In 2025, our company served as the official transportation partner for the Susan G. Komen 3-Day Walks to end breast cancer and partnered with Truckers Against Trafficking to educate our employees about human trafficking. We supported homeless shelters by donating more than 80,000 pairs of socks, sponsored Pat’s Run to support the Pat Tillman Foundation, and moved 5 loads of wreaths for Wreaths Across America to be placed on graves of U.S. veterans. On the safety front, our employees take pride in XPO being the official transport partner for the Tour de France competition for over 45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each of our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Mario Harik</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Kyle Wismans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Bates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Wendy Cassity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Mario Harik </w:t>
      </w:r>
      <w:r>
        <w:rPr>
          <w:rFonts w:ascii="Times New Roman" w:cs="Times New Roman" w:eastAsia="Times New Roman" w:hAnsi="Times New Roman"/>
          <w:sz w:val="18"/>
          <w:szCs w:val="18"/>
          <w:color w:val="auto"/>
        </w:rPr>
        <w:t>has served as XPO’s chief executive officer and a director since November 2022 and as chairman of the board since the beginning of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He previously led the Company’s North American LTL segment as president from October 2021 to October 2022. Additionally, he served as XPO’s chief information officer from November 2011 to October 2022 and XPO’s chief customer officer from February 2021 to January 2022. Mr. Harik has served as a director of QXO, Inc. since June 2024. Mr. Harik has led numerous technological developments for global transportation and logistics operations, built comprehensive technology organizations and consulted to Fortune 100 companies. His prior positions include chief information officer and senior vice president of research and development with Oakleaf Waste Management; chief technology officer with Tallan, Inc.; co-founder of G3 Analyst, where he served as chief architect of web and voice applications; and solutions architect and consultant with Adea Solutions. Mr. Harik holds a master’s degree in engineering – information technology from Massachusetts Institute of Technology, and a degree in engineering – computer and communications from the American University of Beirut, Lebanon.</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Kyle Wismans </w:t>
      </w:r>
      <w:r>
        <w:rPr>
          <w:rFonts w:ascii="Times New Roman" w:cs="Times New Roman" w:eastAsia="Times New Roman" w:hAnsi="Times New Roman"/>
          <w:sz w:val="18"/>
          <w:szCs w:val="18"/>
          <w:color w:val="auto"/>
        </w:rPr>
        <w:t>has served as XPO’s chief financial officer since August 2023, after being promoted from our senior vice president of revenue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finance, a position he held from February 2023 to August 2023. Additionally, he served as XPO’s senior vice president, financial planning and analysis from September 2019 to February 2023. Mr. Wismans has played a vital role in the implementation of our LTL growth strategy, as well as our spin-offs of GXO and RXO. Mr. Wismans has served as a director of GXO Logistics, Inc. since May 2025. He was previously an executive with General Electric Company for over a decade, including most recently as head of global financial planning and analysis for Baker Hughes Oilfield Services, a GE company, from August 2017 to August 2019. Mr. Wismans holds a degree in business administration from the University of Michigan, Stephen M. Ross School of Business.</w:t>
      </w:r>
    </w:p>
    <w:p>
      <w:pPr>
        <w:spacing w:after="0" w:line="12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David Bates </w:t>
      </w:r>
      <w:r>
        <w:rPr>
          <w:rFonts w:ascii="Times New Roman" w:cs="Times New Roman" w:eastAsia="Times New Roman" w:hAnsi="Times New Roman"/>
          <w:sz w:val="18"/>
          <w:szCs w:val="18"/>
          <w:color w:val="auto"/>
        </w:rPr>
        <w:t>has served as XPO’s chief operating officer since April 2023. He previously served as senior vice president – operations at Old Dominion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Freight Line, Inc. from November 2011 to April 2023. From July 2007 to November 2011, Mr. Bates served as a regional vice president, and from December 1995 to July 2007 as a manager, at Old Dominion. Prior to joining Old Dominion, Mr. Bates served in supervisory roles with Carolina Freight Carriers and YRC Freight. Mr. Bates received his Bachelor's degree in Business Management from Juniata College.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Wendy Cassity </w:t>
      </w:r>
      <w:r>
        <w:rPr>
          <w:rFonts w:ascii="Times New Roman" w:cs="Times New Roman" w:eastAsia="Times New Roman" w:hAnsi="Times New Roman"/>
          <w:sz w:val="18"/>
          <w:szCs w:val="18"/>
          <w:color w:val="auto"/>
        </w:rPr>
        <w:t>has served as XPO’s chief legal officer and corporate secretary since March 2023. Prior to joining XPO, she was chief legal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Nuance Communications, Inc. from September 2018 to March 2023. Nuance was publicly traded until it was acquired in March 2022. Prior to joining Nuance, she was general counsel of Zayo Group, a publicly traded communications infrastructure company, from January 2016 to August 2018, and general counsel of Thompson Creek Metals Company, a publicly traded natural resources company, from 2010 to January 2016. Prior to joining Thompson Creek Metals Company, Ms. Cassity was in private practice as a corporate transactional attorney at McDermott Will &amp; Schulte LLP (formerly McDermott Will &amp; Emery LLP) and Cravath Swaine &amp; Moore, LLP in their New York offices. Ms. Cassity holds a B.A. from the University of Arizona in English and History and received her J.D. from Columbia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549910</wp:posOffset>
            </wp:positionV>
            <wp:extent cx="32575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u w:val="single" w:color="auto"/>
          <w:color w:val="auto"/>
        </w:rPr>
        <w:t>www.xpo.com</w:t>
      </w:r>
      <w:r>
        <w:rPr>
          <w:rFonts w:ascii="Times New Roman" w:cs="Times New Roman" w:eastAsia="Times New Roman" w:hAnsi="Times New Roman"/>
          <w:sz w:val="18"/>
          <w:szCs w:val="18"/>
          <w:color w:val="auto"/>
        </w:rPr>
        <w:t xml:space="preserve">. On this website, you can access, free of charge, our Annual Report on Form 10–K, Quarterly Reports on Form 10– Q, and Current Reports on Form 8–K, as well as specialized disclosure reports on Form SD, Proxy Statements on Schedule 14A and amendments to those materials filed or furnished pursuant to Section 13(a) or 15(d) of the Exchange Act. Materials are available online as soon as reasonably practicable after we electronically file such material with, or furnish it to, the SEC. You can also access materials on our website regarding our corporate governance policies and practices, including our Corporate Governance Guidelines, Code of Business Ethics and the charters relating to the committees of our Board of Directors. You may request a printed copy of these materials without charge by writing to: Investor Relations, XPO, Inc., Five American Lane, Greenwich, Connecticut 06831. Information filed electronically with, or furnished to, the SEC is also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References to these websites do not constitute incorporation by reference of the information contained therein and should not be considered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553085</wp:posOffset>
            </wp:positionV>
            <wp:extent cx="3257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3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recessions and other factors that reduce freight volumes, both in North America and Europe, could have a material adverse impact on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transportation industry in North America and Europe historically has experienced cyclical fluctuations in financial results due to economic recessions, downturns in the business cycles of our customers, increases in the prices charged by third-party carriers, interest rate fluctuations, changes in international trade policies and other U.S. and global economic factors beyond our control. Our business levels are directly tied to the purchase and production of goods and the rate of growth of global trade — key macroeconomic measurements influenced by, among other things, inflation and deflation, supply chain disruptions, interest rates and currency exchange rates, labor costs and unemployment levels, fuel and energy prices, pandemics and other public health crises, inventory levels, buying patterns and disposable income, debt levels, and credit availability. When individuals and companies purchase and produce fewer goods, we transport fewer goods, and as companies move manufacturing closer to consumer markets and expand the number of distribution centers, we transport goods shorter distances, which adversely affects our yields and profitability. During economic downturns, a reduction in overall demand for transportation services will likely reduce demand for our services and exert downward pressures on our rates and margins. In addition, in periods of strong economic growth, overall demand may exceed the available supply of transportation resources, resulting in increased network congestion and operating inefficiencies. Additional changes in international trade policies could significantly reduce the volume of goods transported globally and adversely affect our business and results of operations. These factors subject our business to various risks that may have a material impact on our operating results and future prospects. These risks may include the following:</w:t>
      </w:r>
    </w:p>
    <w:p>
      <w:pPr>
        <w:spacing w:after="0" w:line="133" w:lineRule="exact"/>
        <w:rPr>
          <w:sz w:val="20"/>
          <w:szCs w:val="20"/>
          <w:color w:val="auto"/>
        </w:rPr>
      </w:pPr>
    </w:p>
    <w:p>
      <w:pPr>
        <w:ind w:left="660" w:right="4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freight volume reduces our opportunities for growth. In addition, if a downturn in our customers’ businesses causes a reduction in the volume of freight shipped by those customers, our operating results could be adversely affected;</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experience financial distress, file for bankruptcy protection, go out of business, or suffer disruptions in their business and may be unable to pay us. In addition, some customers may not pay us as quickly as they have in the past, causing our working capital needs to increase;</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other public health epidemic poses the risk that we or our employees, customers, suppliers, manufacturers and other commercial partners may be prevented from conducting business activities for an indefinite period of time, including due to the spread of the disease or shutdowns requested or mandated by governmental authorities;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appropriately adjust our expenses to rapid changes in market demand. In order to maintain high variability in our business model, it is necessary to adjust staffing levels when market demand changes. In periods of rapid change, it is more difficult to match our staffing levels to our business needs. In addition, we have other expenses that are primarily variable but are fixed for a period of time, as well as certain significant fixed expenses; we may be unable to adequately adjust these expenses to match a rapid change in demand;</w:t>
      </w:r>
    </w:p>
    <w:p>
      <w:pPr>
        <w:spacing w:after="0" w:line="1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has made significant changes in U.S. trade policy and has taken certain actions that have negatively impacted U.S. trade, including imposing tariffs on certain goods imported into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48"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Foreign governments, including the European Union (“EU”), have imposed tariffs on certain goods imported from the U.S. These actions may contribute to weakness in the global economy that could adversely affect our results of operations. A decline or disruption in general domestic and global economic conditions that affects demand for the commodities and products we transport could reduce revenues or have other adverse effects on the Company's cost structure and profitability. Further changes in U.S. or international trade policy could trigger additional retaliatory actions by affected countries, resulting in “trade wars” and further increased costs for goods transported globally, which may reduce customer demand for these products if the parties having to pay those tariffs increase their prices, or in trading partners limiting their trade with countries that impose anti-trade measures. Such conditions could have an adverse effect on our business, results of operations and financial condition, as well as on the price of our common stock; and</w:t>
      </w:r>
    </w:p>
    <w:p>
      <w:pPr>
        <w:spacing w:after="0" w:line="138" w:lineRule="exact"/>
        <w:rPr>
          <w:sz w:val="20"/>
          <w:szCs w:val="20"/>
          <w:color w:val="auto"/>
        </w:rPr>
      </w:pPr>
    </w:p>
    <w:p>
      <w:pPr>
        <w:ind w:left="660" w:right="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authorities have implemented and are continuing to implement various anti-terrorism measures, including checkpoints and travel restrictions on trucks. If such measures or new anti-terrorism measures disrupt or impede our operations, we may fail to timely deliver products to our customers or incur increased expenses to do so. Such measures could have an adverse effect on our business, results of operations and financial condition, as well as on the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Strategy and Operations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company-specific action plan to enhance network efficiencies and drive growth in our North American LTL business, and other management actions to improve our North American LTL business, may not be effective or timely, and may not improve our results of operations or cash flow from operations as planned.</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undertaken a company-specific action plan to enhance network operating efficiencies and drive growth in our North American LTL business, including by, among other actions, growing yield by providing best-in-class customer service and enhancing business mix, expanding our tractor fleet, managing the production capacity of our trailer manufacturing facility, investing in the door count in our network of service center facilities, and driving cost efficiencies through, among other actions, insourcing linehaul from third-party transportation providers and improving productivity. The effectiveness and timeliness of these actions, which are and will be costly, and other management actions to improve our North American LTL business, may not result in the expected improvements in our results of operations or cash flow from operations in our North American LTL business.</w:t>
      </w:r>
    </w:p>
    <w:p>
      <w:pPr>
        <w:spacing w:after="0" w:line="1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may be materially adversely impacted if our investments in equipment and service centers do not match customer demand for these resources or if there is a decline in the availability of funding sources for these investments.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LTL and full truckload operations require significant investments in equipment and freight service centers. The amount and timing of our capital investments depend on various factors, including anticipated freight volume levels and the price and availability of appropriate property for service centers and newly manufactured tractors. If our anticipated requirements for service centers or fleet differ materially from actual usage, our capital-intensive operations, specifically LTL and full truckload, may have more or less capacity than is optimal.</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investments in equipment and service centers depend on our ability to generate cash flow from operations and our access to credit, debt and equity capital markets. A decline in the availability of these funding sources could adversely affect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implement our cost and revenue initiatives could cause our future financial results to suffer.</w:t>
      </w:r>
    </w:p>
    <w:p>
      <w:pPr>
        <w:spacing w:after="0" w:line="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are implementing various cost and revenue initiatives to further increase our profitability, including advanced pricing analytics and revenue management tools, LTL process improvements, workforce productivity, European margin expansion, global procurement and further back-office optimization. Many of these initiatives involve the use of AI technology. If we are not able to successfully implement these cost and revenue initiatives, our future financial results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556260</wp:posOffset>
            </wp:positionV>
            <wp:extent cx="3257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grown rapidly and substantially over prior years, including by expanding our internal resources, making acquisitions and entering into new markets, and we intend to continue to focus on growth, including organic growth through new customer wins and increased business with existing customers, as well as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 from multiple customer project implementations. Further,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an acquisition, including the assumption of unanticipated liabilities and contingencies, difficulties in integrating acquired assets or businesses, possible management distractions, or the inability of acquired assets or businesses to achieve the levels of revenue, profit, productivity or synergies we anticipate or otherwise perform as we expect on the timeline contemplated.</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growth may place a significant strain on our management, operational, financial and information technology resources. We seek to continually improve existing procedures and controls, as well as implement new transaction processing, operational and financial systems, and procedures and controls to expand, train and manage our employee base. Our working capital needs may continue to increase as our operations grow. Failure to manage our growth effectively, or obtain necessary working capital, could have a material adverse effect on our business, results of operations, cash flows and financial condition.</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or otherwise divest our European business, which may have an adverse effect on our results of operations and cash flows, the market price of our common stock, and on our North American LTL business.</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potentially selling or otherwise divesting our European business, we may not realize the price we expect to receive when contemplating the divestment of the business, we may incur a loss in connection with a sale or other divestiture of the business, the market price of our common stock and the multiples at which our common stock trades may not increase following a sale or other divestiture of our European business, and/or we may incur ongoing transition obligations and costs that adversely impact our operations following a sale or other divestiture of our European business. We also would anticipate incurring material compensation, transactional and other expenses, in connection with entering into and/or completing a sale of our European business. Certain of these factors could have an adverse effect on our results of operations and cash flows, and the market price of our common stock.</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sale or other divestiture of our European business will result in us being a smaller, less diversified company with a more concentrated area of focus and less geographical diversification, as North American LTL would be our only remaining business. Following a potential sale or other divestiture of our European business, our Company likely would become more vulnerable to changing market conditions in the U.S., which could have a material adverse effect on our business, financial condition and results of operations. The diversification of our revenues, costs and cash flows will diminish as a result of a sale or other divestiture of our European business, and our ability to fund capital expenditures and investments and service our debt may be diminished. We may also incur ongoing costs and retain certain liabilities that were previously allocated to entities that are sold or otherwise divested. Those costs may exceed our estimates or could diminish the benefits we expect to realize.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Further, a sale or other divestiture of one or more of our business units may subject us to litigation. An unfavorable outcome of such litigation may result in a material adverse impact on our business, financial condition, cash flows or results of operations. In addition, regardless of the outcome, litigation proceedings can be costly, time-consuming, disruptive to our operations, and distracting to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a sale or other divestiture of our European business will occur, or the terms or timing of a potential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determine that our goodwill has become impaired, we may incur impairment charges, which would negatively impact our operating results.</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At December 31, 2025, we had approximately $1.5 billion of goodwill on our consolidated balance sheet. Goodwill represents the excess of cost over the fair value of net assets acquired in business combinations. We assess potential impairment of our goodwill annually, or more frequently if an event or circumstance indicates an impairment loss may have been incurred. Impairment may result from significant changes in the manner or use of the acquired assets, in connection with the sale, spin off or other divestiture of a business unit, a change in reporting units in connection with a reorganization of our reporting structure, negative industry or economic trends and/or significant underperformance relative to historic or projected operating results. For a discussion of our goodwill impairment testing, see “Critical Accounting Policies and Estimates - Evaluation of Goodwill” in Part II, Item 7, “Management’s Discussion and Analysis of Financial Condition and Results of Operations.”</w:t>
      </w:r>
    </w:p>
    <w:p>
      <w:pPr>
        <w:spacing w:after="0" w:line="131" w:lineRule="exact"/>
        <w:rPr>
          <w:sz w:val="20"/>
          <w:szCs w:val="20"/>
          <w:color w:val="auto"/>
        </w:rPr>
      </w:pPr>
    </w:p>
    <w:p>
      <w:pPr>
        <w:jc w:val="both"/>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our use of the technology. Thus, our failure to obtain, maintain or enforce our intellectual property rights could have a material adverse effect on our business, financial condition and results of operations.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and divert our resources, and ultimately be unsuccessful. Moreover, should we fail to develop and properly manage future intellectual property, this could adversely affect our market positions and business opportunities.</w:t>
      </w:r>
    </w:p>
    <w:p>
      <w:pPr>
        <w:spacing w:after="0" w:line="13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 as further discussed in 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fuel prices impacts our fuel surcharge revenue and may impact our profitability.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availability and price of fuel, all of which are subject to political, economic and market factors that are outside of our control.</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Fuel expense constitutes one of the greatest costs to our LTL carrier operations, as well as to third-party linehaul and transportation providers. Accordingly, we may be adversely affected by the timing and degree of fuel price fluctuations. As is customary in our industry, most of our customer contracts include fuel surcharge programs or other cost-recovery mechanisms to mitigate the effect of any fuel price increases over base amounts established in the contract. However, these mechanisms may not fully capture an increase in fuel price. Furthermore, market pressures may limit our ability to assess fuel surcharges in the future. The extent to which we are able to recover increases in fuel costs may be impacted by the amount of empty or out-of-route truck miles or engine idling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Decreases in fuel prices reduce the cost of transportation services and accordingly, will reduce our revenues and may reduce margins for certain lines of business.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Productivity of our fleet historically decreases during the winter season and extreme or unusual weather conditions, whether due to climate change or otherwise, can disrupt our operations, impact freight volumes, and increase our costs, all of which could have a material adverse effect on our business results.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depends, in part, on predictable temperate weather patterns. Our productivity historically decreases during the winter season, as it does for the industry in general, because inclement weather impedes operations. Certain seasonal weather conditions and isolated weather events can disrupt our operations and further impact productivity. We frequently incur costs related to snow and ice removal, towing and other maintenance activities during winter months. Our activities in the southern United States are particularly susceptible to the occurrence of hurricanes and tropical storms and, depending on where any particular hurricane or tropical storm makes landfall, our properties and operations could experience significant damage and disruptions. At least some of our operations are constantly at risk of extreme adverse weather conditions. While many of our locations have emergency response plans to address extreme weather conditions, unusual or prolonged adverse weather patterns in our areas of operations or markets, whether due to climate change or otherwise, can temporarily impact freight volumes and increase our costs.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Also, concerns relating to climate change have led to a range of local, state, federal, and international regulatory and policy efforts to seek to address greenhouse gas (“GHG”) emissions. Governments around the world are proposing and adopting laws and regulations regarding GHGs which could lead to additional compliance costs or operational disruption now or in the future, including increased fuel and other capital or operational costs or additional legal requirements on the Company. Climate change concerns and GHG regulatory efforts could also affect the Company's customers themselves. Any of these factors, individually or combined with one or more factors, or other unforeseen factors or other impacts of climate change, could affect the Company and have an adverse effect on our business, operations, or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could be harmed if we fail to satisfy evolving stakeholder expectations regarding environmental matters.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Companies across all industries have faced scrutiny from stakeholders related to environmental matters, including practices and disclosures related to GHGs. If we are unable to meet stakeholder expectations, or if we are perceived to have not responded appropriately, our reputation could be negatively impacted or we could be the target of litigation.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Technology</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transportation providers. This process of continuous enhancement may lead to significant ongoing software development costs, which will continue to increase if we pursue new acquisitions of companies and their current systems. Technology and new market entrants may also disrupt the way we and our competitors operate. In addition, we may fail to accurately determine the needs of our customers or trends in the transportation industry. Any such failures could result in decreased demand for our services and a corresponding decrease in our revenues.</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24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we fail to enhance our systems to meet our customers’ needs, our results of operations could be seriously harmed. In addition, the adoption of new and rapid changes in technology, such as the rise in artificial intelligence applications, may impact the transportation and logistics industry. If we do not appropriately adapt our operations to these new technologies as quickly or effectively as our competitors, the Company's business could be adversely affected. This could result in a loss of customers or a decline in the volume of freight we receive from customers.</w:t>
      </w:r>
    </w:p>
    <w:p>
      <w:pPr>
        <w:spacing w:after="0" w:line="1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developing proprietary information technology. 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breach of our information security systems, networks or processes could materially adversely affect our business.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process and maintain certain information that is confidential, proprietary, personal, or otherwise sensitive, including financial and confidential business information. In the past, foreign state-sponsored cyber threat actors have targeted networks belonging to critical infrastructure organizations globally, including transportation and logistics infrastructure networks. Our information technology systems, devices, storage and applications, as well as those maintained by our third-party providers, are susceptible to damage, disruptions and shutdowns due to computer viruses, cyberattacks, ransomware or malware attacks, phishing, denial of service attacks, malicious social engineering, attacks by foreign actors, and other attempts to gain unauthorized access. The rapid evolution and increased availability of artificial intelligence may intensify cybersecurity risks by making cyber-attacks more sophisticated and cybersecurity incidents more difficult to detect, contain, and mitigate. Our systems and the systems maintained by our third-party providers have been subject to attempts to gain unauthorized access, breaches, and other system disruptions, and these and similar incidents could happen again. These events could, from time to time, cause material service outages, allow inappropriate or block legitimate access to systems or information, or result in other material interruptions to our business, our customers and other stakeholders could be impacted, and our reputation could be harmed. The techniques used to obtain unauthorized access, disable or degrade service or sabotage systems change frequently and the frequency and sophistication of cyber-attacks globally have increased over time. As a result, we may be unable to anticipate these attacks or techniques or to implement adequate measures to recognize, detect or prevent the occurrence of any of the events described above or to adequately mitigate their effects. We also may not discover the occurrence of any of the events described above for a significant period of time after the event occurs. These risks, as well as the number and frequency of cybersecurity events globally, may also be heightened during times of geopolitical tension or instability between countries.</w:t>
      </w:r>
    </w:p>
    <w:p>
      <w:pPr>
        <w:spacing w:after="0" w:line="1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a robust information security program that includes: access control tools; detection and response tools; security awareness, penetration testing, vulnerability management, and incident response programs; data encryption; formal risk management, including 3rd party risk management; and cyber insurance. We depend on and interact with the information technology networks and systems of third parties for many aspects of our operations, including our customers and service providers such as cloud service providers and third-party delivery services. These third parties are subject to risks resulting from data breaches, cyberattacks, and other events or actions that could damage or disrupt their networks or systems, which could adversely affect our operations and have an impact on our business.</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and the costs related to cybersecurity threats or disruptions may not be fully insured or indemnified by other means. While we have dedicated significant resources to security and privacy and to incident response capabilities, our response processes may not be adequate, may fail to accurately assess the severity of an incident, may not be sufficient to prevent or limit harm, or may fail to sufficiently remediate an incident in a timely fashion, any of which could harm our business, reputation,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may materially adversely affect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our order entry and fulfillment, communications, labor management, sales and marketing, financial, legal and compliance functions, engineering and product development tasks, research and development data, and other business processes. We also rely on third parties and virtualized infrastructure to operate our information technology systems. Despite significant testing, external and internal risks, such as malware, insecure coding, “Acts of God,” data leakage and human error, pose a direct threat to the stability and effectiveness of our information technology systems and operations. The failure of our information technology systems to perform as we anticipate has in the past adversely affected, and could in the future adversely affect our business, including through service delays, delayed communications, loss and delay of sales, transaction errors, billing and invoicing errors, processing inefficiencies and delayed receivables collection. Any such failure could result in harm to our reputation and have an ongoing adverse impact on our business, results of operations and financial condition, including after the underlying failure has been remedied. Further, the delay or failure to implement information system upgrades and new systems effectively could disrupt our business, distract management’s focus and attention from our business operations, and increase our implementation and operating costs, any of which could negatively impact our operations and operating results.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due to recent advances in technology and well-known efforts on the part of computer hackers and cyber-terrorists to breach the data security of companies, we face risks associated with the potential failure to adequately protect critical corporate, customer and employee data, which, if released, could adversely impact our customer and employee relationships, our reputation, and even violate privacy laws. Recently, regulatory and enforcement focus on data protection has heightened in the United States and abroad, particularly in the EU. Failure to comply with applicable U.S. or foreign data protection regulations or other data protection standards may expose us to litigation, fines, sanctions or other penalties, which could harm our business, reputation,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Credit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outstanding indebtedness, which could: negatively affect our ability to pay principal and interest on our debt; increase our vulnerability to general adverse economic and industry conditions; limit our ability to fund future capital expenditures and working capital, to engage in future acquisitions or development activities, or to otherwise realize the value of our assets and opportunities fully because of the need to dedicate a substantial portion of our cash flow to payments of interest and principal or to comply with any restrictive terms of our debt; limit our flexibility in planning for, or reacting to, changes in our business and the industry in which we operate; impair our ability to obtain additional financing or to refinance our indebtedness in the future; and place us at a competitive disadvantage compared to our competitors that may have proportionately less debt.</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indebtedness,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terms of our outstanding indebtedness, we may not be able to incur substantial additional indebtedness in the future, which could further exacerbate the risks described above.</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execution of our strategy could depend on our ability to raise capital in the future, and our inability to do so could prevent us from achieving our growth objectives.</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in the future be required to raise capital through public or private financing or other arrangements in order to pursue our growth strategy or operate our businesses. Such financing may not be available on acceptable terms,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all, and our failure to raise capital when needed could harm our business and/or our ability to execute our strategy. Further debt financing may involve restrictive covenants and could reduce our profitability. We currently have investment grade credit ratings for our secured debt, however, we may not be able to maintain these ratings or obtain investment grade credit ratings for our unsecured debt. Without investment grade credit ratings, we may incur increased interest expense and borrowing costs and may have reduced access to financial markets to obtain additional debt financing or refinance our existing debt, potentially adversely affecting our financial condition and results of operations. If we cannot raise funds on acceptable terms, we may not be able to grow our business as planned or respond to competitive pressures.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interest rate changes because of our floating rate credit facilities.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Revolving Credit Agreement, as amended (the “Revolving Credit Facility”) provides for an interest rate based on the Secured Overnight Financing Rate (“SOFR”), the Canadian Overnight Repo Rate (“CORRA”) or a Base Rate, as defined in the agreement, plus an applicable margin. The Senior Secured Term Loan Credit Agreement, as amended (the “Term Loan Facility”), provides for an interest rate based on SOFR or a Base Rate, as defined in the agreement, plus an applicable margin. Our European trade receivables securitization program (the “Receivables Securitization Program”) provides for an interest rate at lenders’ cost of funds plus an applicable margin. Our financial position may be affected by fluctuations in interest rates since the Revolving Credit Facility, Term Loan Facility and Receivables Securitization Program are subject to floating interest rates. Refer to Item 7A, “Quantitative and Qualitative Disclosures about Market Risk” for the impact on interest expense of a hypothetical 1% increase in the interest rate. Interest rates are highly sensitive to many factors, including governmental monetary policies, domestic and international economic and political conditions and other factors beyond our control. A significant increase in interest rates could have an adverse effect on our financial position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in the operation of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European business heavily relies on subcontracting and we use a large number of temporary employees in these operations. As a result, we are exposed to various risks related to managing our subcontractors, such as the risk that they do not fulfill their assignments in a satisfactory manner or within the specified deadlines. Moreover, we cannot guarantee that temporary employees are as well-trained as our other employees. Specifically, we may be exposed to the risk that temporary employees may not perform their assignments in a satisfactory manner or may not comply with our safety rules in an appropriate manner, whether as a result of their lack of experience or otherwise. Such failures could compromise our ability to fulfill our commitments to our customers, comply with applicable regulations or otherwise meet our customers’ expectations. Such failures could also harm our reputation and ability to win new business and could lead to us being liable for contractual damages. Furthermore, in the event of a failure by our subcontractors or temporary employees to fulfill their assignments in a satisfactory manner, we could be required to perform unplanned work or additional services in line with the contracted service, without receiving any additional compensation. As a result, any failure to properly manage our subcontractors or temporary employees in Europe or elsewhere could have a material adverse impact on our revenues, earnings, financial position and outlook.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driver compensation and difficulties with attracting and retaining drivers could adversely affect our revenues and profitability.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LTL services in North America and Europe and our full truckload services in Europe are conducted primarily with employee drivers. Our industry may experience intense competition for qualified drivers in the transportation industry due to a shortage of drivers. The availability of qualified drivers may be affected from time to time by changing workforce demographics, competition from other transportation companies and industries for employees, the availability and affordability of driver training schools, changing industry regulations, and the demand for drivers in the labor market. If an industry-wide shortage of qualified drivers occurs, our global LTL operations and our European truckload operation could experience difficulty in attracting and retaining enough qualified drivers to fully satisfy customer demand. During periods of increased competition in the labor market for drivers, our LTL and full truckload operations may be required to increase driver compensation and benefits in the future to attract and retain a sufficient number of qualified drivers or face difficulty meeting customer demand, all of which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553085</wp:posOffset>
            </wp:positionV>
            <wp:extent cx="3257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adversely affect our profitability. Additionally, a shortage of drivers could result in the underutilization of our truck fleet, lost revenue, increased costs for purchased transportation or increased costs for driver recruitment.</w:t>
      </w:r>
    </w:p>
    <w:p>
      <w:pPr>
        <w:spacing w:after="0" w:line="10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management talent and key employees, our business, results of operations and financial position could be adversely affected.</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success is dependent upon our ability to attract and retain qualified management in a highly competitive environment and the experience and leadership of our key employees. Qualified individuals are in high demand, and we may incur significant costs to attract them, particularly at the executive level. We may face difficulty in attracting, retaining and compensating key talent for a number of reasons, including competitive market conditions. Replacing departing executives, directors or other key personnel can involve organizational disruption and uncertainty. If we fail to attract and retain management talent and key employees or fail to manage integration of new management talent or key employees successfully, we could experience significant delays or difficulty in the achievement of our strategic objectives and our business, financial condition and results of operations could be materially and adversely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by labor disputes.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strikes and labor negotiations at seaports, labor disputes between railroads and their union employees, or by a work stoppage at one or more railroads or local trucking companies servicing rail or port terminals. Strikes and work stoppages also could occur at our own facilities.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1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Labor disputes involving our customers could affect our operations. If our customers experience plant slowdowns or closures because they are unable to negotiate labor contracts, our revenue and profitability could be negatively impacted.</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European business activities require a large amount of labor, which represents one of our most significant costs.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by labor organizations to organize employees at certain locations in North America, if successful, may impact costs and efficiencies at those locations.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2014, in the U.S., the International Brotherhood of Teamsters (“Teamsters”) has attempted to organize employees at dozens of our LTL locations, and the International Association of Machinists (“Machinists”) has attempted to organize a small number of mechanics at three LTL maintenance shops. The majority of our employees involved in these organizing efforts rejected union representation. As of December 31, 2025, our employees had voted against union representation in 19 of the 28 union elections held since 2014. As of December 31, 2025, none of our employees were represented by a union in North America, consistent with our December 31, 2024 position. We cannot predict with certainty whether further organizing efforts may result in the unionization of any additional locations in the U.S. If union efforts are successful, these efforts may impact costs and efficiencies at the specific locations where representation is elected and have an adverse effect on our results of operations, cash flows and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multiple lawsuits and are subject to various claims that could result in significant expenditures and impact our operations.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nature of our business exposes us to the potential for various types of claims and litigation, including matters related to commercial disputes, labor and employment, workers’ compensation, personal injury, cargo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2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property damage, product liability, environmental liability, insurance coverage, securities and other matters, including with respect to claims asserted under various other theories of agency or employer liability. Claims against us may exceed the amount of insurance coverage that we have or may not be covered by insurance at all. Businesses that we acquire may also increase our exposure to litigation. Material increases in the frequency or severity of vehicular accidents, liability claims or workers’ compensation claims, or the unfavorable resolution of claims, or our failure to recover, in full or in part, under subrogation or indemnity provisions with third-party transportation providers, could materially and adversely affect our operating results. Our involvement in the transportation of certain goods, including but not limited to hazardous materials, could also increase our exposure in the event that we or one of our third-party transportation providers is involved in an accident resulting in injury or contamination. In addition, significant increases in insurance costs or the inability to purchase insurance as a result of these claims and industry-wide factors affecting insurance availability and cost could reduce our profitability. Under some agreements, we maintain the inventory of our customers, some of which may be significant in value. Our failure to properly handle and safeguard such inventory, or damages occurring as a result of acts of God, exposes us to potential claims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the number or severity of self-insured claims or an increase in insurance premiums could have an adverse effect on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employee medical, vehicular collision and accident (including personal injury), cargo loss and damage, property damage, and workers’ compensation claims. Our estimated liability for self-retained insurance claims reflects certain actuarial assumptions and judgments, which are subject to a degree of variability and uncertainty. We reserve for anticipated losses and expenses and periodically evaluate and adjust our claims reserves to reflect our experience and exposure expectation. Estimating the number and severity of claims, as well as related potential judgment or settlement amounts, is inherently difficult. This inherent difficulty, along with legal expenses, incurred but not reported claims, and other uncertainties can cause unfavorable differences between actual self-insurance costs and our reserve estimates. Our operating results could be adversely affected if any of the following were to occur: (i) the number or the severity of claims increases; (ii) we are required to accrue or pay additional amounts because claims as they develop prove to be more severe than our initial assessment; or (iii) claims exceed our coverage. Accordingly, our ultimate results may differ from our initial estimates, which could result in losses over our reserved amounts. We periodically evaluate our level of insurance coverage and adjust insurance levels based on targeted risk tolerance and premium expense. An increase in the number or severity of self-insured claims or an increase in insurance premiums could have an adverse effect on us, while higher self-insured retention levels may increase the impact of loss occurrences on our results of operations.</w:t>
      </w:r>
    </w:p>
    <w:p>
      <w:pPr>
        <w:spacing w:after="0" w:line="13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addition, the cost of providing benefits under our medical plans is dependent on a variety of factors, including governmental laws and regulations, healthcare cost trends, claims experience and healthcare decisions by plan participants. As a result, we are unable to predict how the cost of providing benefits under medical plans will affect our financial condition, results of operations or cash flows.</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maintain defined benefit pension plans and a postretirement medical plan. Our defined benefit pension plans include funded and unfunded plans in the U.S. A decline in interest rates and/or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 significantly increase our contribution requirements. As a result, we are unable to predict the effect on our financial statements associated with our defined benefit pension plans and our postretirement medical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income tax regulations for U.S. and multinational companies may increase our tax liability.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results of operations and cash flows. 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and many jurisdictions have begun codifying those recommendations into law. During 2023, the OECD issued administrative guidance for the Pillar Two Global Anti-Base Erosion rules (“Pillar Two”), which generally imposes a 15% global minimum tax on multinational companies. Many Pillar Two rules were effective for fiscal years beginning on January 1, 2024, with other aspects effective from 2025. On July 4, 2025, the One Big Beautiful Bill Act (P.L. 119-21) was signed into law. The legislation has multiple effective dates, with certain provisions effective in 2025 and others effective through 2027. These and other tax laws and related regulations changes, to the extent adopted, may increase tax uncertainty and/or our effective tax rate, result in higher compliance cost and adversely affect our provision for income taxes, results of operations and/or cash flows.</w:t>
      </w:r>
    </w:p>
    <w:p>
      <w:pPr>
        <w:spacing w:after="0" w:line="13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political conditions, and emissions-control regulations which could substantially increase operating expenses or negatively impact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operations are regulated and licensed by various governmental agencies in the U.S. and in foreign countries where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third-party transportation providers must also comply with applicable regulations and requirements of various agencies. Through our subsidiaries and operations, we hold various licenses required to carry out our domestic and international services. These licenses permit us to provide services as a motor carrier and property broker. In addition, we are subject to regulations and requirements promulgated by the DOT, EPA, FMCSA, DHS, CBP, Canada Border Services Agency and various other international, domestic, state and local agencies and port authorities.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of our businesses engage in the transportation of hazardous materials, the movement, handling and accidental discharge of which are highly regulated. Our failure to obtain or maintain the required licenses, or to comply with applicable regulations, could have a material adverse impact on our business and results of operations. See the “Regulation” section under Item 1, “Business” for more information.</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State and federal governmental agencies have announced regulations to be implemented to decrease emissions from new heavy-duty vehicles and establish new standards for greenhouse gas emissions from heavy-duty engines. At this point, there are virtually no zero-emissions vehicles widely available that are suitable replacements for current technology used in less-than-truckload operations. If emission compliant vehicles are not available or not commercially viable for the less-than-truckload market, we may be required to modify or curtail our operations in applicable jurisdictions which could have a material adverse effect on our financial condition, results of operations, and cash flows or may require us to incur significant additional costs, any of which could negatively impact our business.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Future laws and regulations may be more stringent and may require changes to our operating practices that influence the demand for our services or require us to incur significant additional costs. We are unable to predict the impact that recently enacted and future regulations may have on our business. In particular, it is difficult to predict which, and in what form, emissions regulations may be modified or enforced, and what impact these regulations may have on motor carrier and less-than-truckload operations. If higher costs are incurred by us as a result of future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2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regulations, or by third-party transportation providers who pass increased costs on to us, this could adversely affect our results of operations to the extent we are unable to obtain a corresponding increase in price from our customers.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Furthermore, political conditions at the federal, state, or local levels may alter the regulations that impact our business, may require changes to our operating practices, may influence demand for our services, or may require us to incur significant additional costs, any of which could negatively impact our business.</w:t>
      </w:r>
    </w:p>
    <w:p>
      <w:pPr>
        <w:spacing w:after="0" w:line="11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trade compliance and anti-corruption laws and regulations applicable to our operations could expose us to potential fines, criminal sanctions, or reputational harm.</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 global company subject to changing laws, policies, sanctions, and other regulatory requirements in the U.S., the U.K. and the E.U. relating to trade compliance and anti-corruption. Economic sanctions and other trade compliance restrictions in the U.S., the U.K., the E.U., and other countries may prohibit us from engaging in business activities with restricted entities or sanctioned countries. The U.S. and other export controls may restrict us from exporting specific products or arranging transportation or other services to or for the benefit of certain entities in specified countries. An imposition of tariffs on imports or other changes to U.S. trade policy could cause demand for shipping from international markets to decrease, and if the declines are significant enough, it could have a material adverse effect on our results of operations, financial condition, and liquidity. Global developments such as the ongoing conflict in Ukraine may result in new and evolving sanctions and trade restrictions. Non-compliance with trade compliance laws, policies, sanctions, and other regulatory requirements could result in reputational harm, operational delays, monetary fines and penalties, loss of revenues, increased costs, loss of export privileges, and criminal sanctions.</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(“FCPA”), the U.K. Bribery Act, Sapin II and other anti-corruption laws and regulations prohibit corrupt payments by our employees, vendors, or agents. While we have implemented policies, training, and internal controls designed to reduce the risk of corrupt payments, our employees, vendors, or agents may violate our policies and controls. Our failure to comply with anti-corruption laws and regulations could result in monetary fines and penalties, criminal sanctions against us, our officers, or our employees, restrictions on the conduct of our business, and reputational harm.</w:t>
      </w:r>
    </w:p>
    <w:p>
      <w:pPr>
        <w:spacing w:after="0" w:line="1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spin-offs of GXO and/or RXO, together with certain related transactions, do not qualify as transactions that are generally tax-free for U.S. federal income tax purposes, XPO and XPO stockholders could be subject to significant tax liabilities. In addition, if certain internal restructuring transactions were to fail to qualify as transactions that are generally tax-free for U.S. federal or non-U.S. income tax purposes, we could be subject to significant tax liabilities.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spin-offs of GXO and RXO, we received opinions from outside counsel regarding the qualification of each spin-off, together with certain related transactions, as a “reorganization” within the meaning of Sections 355 and 368(a)(1)(D) of the Internal Revenue Code. The opinions of counsel were based upon and relied on, among other things, various facts and assumptions, as well as certain representations, statements and undertakings of XPO, GXO, and RXO, including those relating to the past and future conduct of each company. If any of these facts, assumptions, representations, statements or undertakings was, or becomes, inaccurate or incomplete, or if XPO, GXO, or RXO breaches any of its representations or covenants contained in the separation agreement and certain other agreements and documents or in any documents relating to the related opinion of counsel, the opinion of counsel may be invalid, and the conclusions reached therein could be jeopardized.</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Notwithstanding receipt of the opinion of counsel, there can be no assurance that the U.S. Internal Revenue Service (the “IRS”) will not assert that either spin-off and/or certain related transactions do not qualify for tax-free treatment for U.S. federal income tax purposes or that a court would not sustain such a challenge. In the event the IRS were to prevail with such challenge, XPO and XPO stockholders could be subject to significant U.S. federal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802640</wp:posOffset>
            </wp:positionV>
            <wp:extent cx="32575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Markets and Competition</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5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 (i) competition from other transportation services companies, some of which offer different services or have a broader coverage network, more fully developed information technology systems and greater capital resources than we do; (ii) a reduction in the rates charged by our competitors to gain business, especially during times of declining economic growth, which may limit our ability to maintain or increase our rates, maintain our operating margins or achieve significant growth in our business; (iii) shippers soliciting bids from multiple transportation providers for their shipping needs, which may result in the depression of freight rates or loss of business to competitors; (iv) the establishment by our competitors of cooperative relationships to increase their ability to address shipper needs; (v) decisions by our current or prospective customers to develop or expand internal capabilities for some of the services we provide; and (vi) the development of new technologies or business models that could result in our disintermediation in certain services we provide.</w:t>
      </w:r>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XPO employs a robust system of information technology and information security controls and measures to assess, identify, and manage risks from cybersecurity threats which we consider to be critically important to maintaining our business and ensuring our business continuity. Our information security program is overseen by our Chief Information Security Officer (“CISO”), whose team is responsible for leading enterprise-wide cybersecurity strategy, policy, standards, architecture, threat prevention, threat detection, and incident response processes. Our CISO has more than a decade of executive leadership experience with blue chip companies in the areas of information technology, cybersecurity, risk management and compliance across multiple industries. He and his team have experience assessing, designing, building and operating security platforms, identity and access, data protection, product and software security, cyber engineering, cyber defense, automation and compliance initiatives. The information security team provides periodic reports to our Chief Information Officer, Board of Directors, Chief Executive Officer and other members of our senior management as appropriate. Our CISO meets regularly with his team as well as other key personnel to share information about potential cybersecurity events and monitor, prevent, and detect potential cybersecurity incidents and develop reports for our senior management. These reports include updates on the Company’s cyber risks and threats, the status of projects to strengthen our information security systems, assessments of the information security program, including the results of security breach simulations, and the emerging threat landscape. Our Board of Directors will be informed of all material cybersecurity incidents and our information security program includes procedures for calling a special session of the Board of Directors in the event of a high or critical-risk cybersecurity incident. The Board of Directors also discusses relevant incidents in the industry and the evolving threat landscape.</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part of our information security program, our CISO and his team integrate our information security measures into our overall risk management processes to identify, evaluate, and quantify risks based on internal and external available information and classify the severity of potential cybersecurity incidents. XPO employs technical measures to protect against cybersecurity attacks that align with functions identified in the National Institute of Standards and Technology (“NIST”) Cybersecurity Framework. The information security team continuously reviews our information security systems for unauthorized system access, cybersecurity incidents, indicators of compromise, and unusual traffic on our systems. The information security leadership team meets regularly to ensure our processes to identify, assess, and manage cybersecurity threats, including those posed by third-party service providers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provide services to our business, are effective and current. Our information security team also reviews relevant legislative and regulatory developments and conducts regular and tailored information security training for our global workforce, in various formats.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event of a cybersecurity incident, our incident response team, composed of members of our information security team as well as other key personnel, identifies, evaluates, and quantifies the relevant risks based on the available information and classifies the severity of the cybersecurity incident based on the level of risk to the Company. Our incident response measures include procedures to provide incident updates and developments to our senior management and the Board of Directors in the event of an ongoing cybersecurity incident. We also maintain an information security risk insurance policy. We conduct internal exercises to prepare our leadership and cross-functional teams to respond in the event of a cybersecurity incident and to help us test and consider revisions to our incident response procedures. We also actively engage with key consultants, industry participants, and intelligence and law enforcement communities as part of our continuing efforts to evaluate and enhance the effectiveness of our information security program. Our program is regularly evaluated by internal and external experts, with the results of those reviews reported to senior management and the Board of Directors. To date, we have not experienced any cybersecurity threats or incidents which have materially affected or are reasonably likely to materially affect the Company.</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we have dedicated significant resources to identifying, assessing, and managing material risks from cybersecurity threats, our efforts may not be adequate, may fail to accurately assess the severity of an incident, may not be sufficient to prevent or limit harm, or may fail to sufficiently remediate an incident in a timely fashion, any of which could harm our business, reputation, results of operations and financial condition. For an additional discussion of certain risks associated with cybersecurity see Item 1A, “Risk Factors” above.</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2025, we had 592 locations, primarily in North America and Europe. These facilities are located in all 48 contiguous U.S. states, as well as globally.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Leased Facilities</w:t>
            </w:r>
          </w:p>
        </w:tc>
        <w:tc>
          <w:tcPr>
            <w:tcW w:w="1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Customer Facilities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American LTL</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locations owned or leased by customers.</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lease our current executive offices located in Greenwich, Connecticut and Boston, Massachusetts, as well as various office facilities in the U.S., France, the U.K. and India to support our global executive and shared-services functions. We believe that our facilities are sufficient for our current needs.</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17—Commitments and Contingencies to our Consolidated Financial Statements (included in Part II, Item 8 of this Annual Report) and is incorporated herein by reference. For an additional discussion of certain risks associated with legal proceedings, see Item 1A, “Risk Factors” above.</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XPO.</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January 30, 2026, there were approximately 49 registered holders of our common stock. We have never paid, and have no immediate plans to pay, cash dividends on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of holders of our common stock with the cumulative performance of the S&amp;P Transportation Select Industry index and the S&amp;P 400 MidCap index, of which we are a component. The graph assumes that the value of the investment in our common stock and each index was $100 on December 31, 2020 and that all dividends and other distributions, including the effect of Spin-offs, were reinvested. The comparisons in the graph below are based on historical data and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-8255</wp:posOffset>
            </wp:positionV>
            <wp:extent cx="5263515" cy="39262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351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4"/>
        </w:trPr>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XPO, Inc.</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Transportation Select Industry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400 MidCap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617220</wp:posOffset>
            </wp:positionV>
            <wp:extent cx="32575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purchases of our common stock for the quarter ended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right="23"/>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data)</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3"/>
        </w:trPr>
        <w:tc>
          <w:tcPr>
            <w:tcW w:w="4340" w:type="dxa"/>
            <w:vAlign w:val="bottom"/>
            <w:gridSpan w:val="2"/>
            <w:vMerge w:val="continue"/>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Shares Purchased </w:t>
            </w:r>
            <w:r>
              <w:rPr>
                <w:rFonts w:ascii="Times New Roman" w:cs="Times New Roman" w:eastAsia="Times New Roman" w:hAnsi="Times New Roman"/>
                <w:sz w:val="18"/>
                <w:szCs w:val="18"/>
                <w:b w:val="1"/>
                <w:bCs w:val="1"/>
                <w:color w:val="auto"/>
                <w:w w:val="99"/>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Pr>
          <w:p>
            <w:pPr>
              <w:spacing w:after="0"/>
              <w:rPr>
                <w:sz w:val="17"/>
                <w:szCs w:val="17"/>
                <w:color w:val="auto"/>
              </w:rPr>
            </w:pPr>
          </w:p>
        </w:tc>
        <w:tc>
          <w:tcPr>
            <w:tcW w:w="1900" w:type="dxa"/>
            <w:vAlign w:val="bottom"/>
          </w:tcPr>
          <w:p>
            <w:pPr>
              <w:jc w:val="center"/>
              <w:ind w:right="43"/>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 October 31, 2025</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2025 - November 30,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2025 - December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135.86</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2"/>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134.47</w:t>
            </w:r>
          </w:p>
        </w:tc>
        <w:tc>
          <w:tcPr>
            <w:tcW w:w="12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trade date.</w:t>
      </w:r>
    </w:p>
    <w:p>
      <w:pPr>
        <w:spacing w:after="0" w:line="109" w:lineRule="exact"/>
        <w:rPr>
          <w:rFonts w:ascii="Times New Roman" w:cs="Times New Roman" w:eastAsia="Times New Roman" w:hAnsi="Times New Roman"/>
          <w:sz w:val="14"/>
          <w:szCs w:val="14"/>
          <w:color w:val="auto"/>
        </w:rPr>
      </w:pPr>
    </w:p>
    <w:p>
      <w:pPr>
        <w:ind w:left="660" w:right="280" w:hanging="328"/>
        <w:spacing w:after="0" w:line="281" w:lineRule="auto"/>
        <w:tabs>
          <w:tab w:leader="none" w:pos="64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27, 2025, we announced that our Board of Directors authorized repurchases of up to $750 million of our common stock. The program has no expiration date and may be utilized over time, with no obligation to repurchase any specific number of shares. We may suspend or discontinue the program at any time. For further details, refer to Note 13— Stockholders’ Equity to our Consolidated Financial Statements.</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577215</wp:posOffset>
            </wp:positionV>
            <wp:extent cx="32575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52" w:lineRule="exact"/>
        <w:rPr>
          <w:sz w:val="20"/>
          <w:szCs w:val="20"/>
          <w:color w:val="auto"/>
        </w:rPr>
      </w:pPr>
    </w:p>
    <w:p>
      <w:pPr>
        <w:ind w:right="13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XPO is a leading provider of freight transportation services, with company-specific avenues for value creation. We use our proprietary technology to move goods efficiently through supply chains for approximately 55,000 customers in North America and Europe.</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company has two reportable segments: North American Less-Than-Truckload (“LTL”), the largest component of our business; and European Transportation. Our North American LTL segment includes the results of our trailer manufacturing operation.</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Within the tables presented, certain amounts may not add due to the use of rounded numbers. Unless otherwise indicated, percentages presented are calculated from the underlying numbers in millions.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in our Annual Report on Form 10-K for the fiscal year ended December 31, 2024, for a discussion of our financial condition and results of operations for full year 2024, compared with full year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Notable External Conditions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leading provider of freight transportation services, our business can be impacted to varying degrees by factors beyond our control. The overall freight environment continues to be recessionary, due to a mix of macroeconomic pressures on supply and demand. Importantly, we see significant growth potential ahead in our major markets, and we intend to continue expanding our business by investing in capacity for the long-term, gaining profitable market share and aligning price with the value we provide.</w:t>
      </w:r>
    </w:p>
    <w:p>
      <w:pPr>
        <w:spacing w:after="0" w:line="12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Examples of factors that may affect our results include elevated interest rates; economic inflation, which may have a negative effect on certain of our operating costs, such as salaries, wages and employee benefits, fuel and insurance; uncertainty regarding the impacts of tariffs imposed, revoked or reciprocated between the U.S. and its trading partners, including impacts on import costs, export competitiveness and end-market demand for our customers’ products; and the ongoing reluctance of some shippers to route goods through areas unsettled by conflict.</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mitigate inflationary pressure with mechanisms in our customer contracts, including fuel surcharge clauses and general rate increases; and we believe that U.S. demand for LTL services may increase when interest rates decrease or tariff uncertainties subside, as both dynamics historically correlate to a rebound in industrial activity.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predict how future macroeconomic conditions, supply chain constraints or conflicts may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Summary Financial Results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5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Pre-Con-way acquisition environmental matter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Legal matters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3"/>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0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consolidated revenue for 2025 increased by 1.1% to $8.2 billion, compared with 2024. Foreign currency movement increased revenue by approximately 1.4 percentage points in 2025. After taking into effect the impact of foreign currency movements, revenue was essentially flat compared with 2024.</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Salaries, wages and employee benefits includes compensation-related costs for our employees, including salaries, wages, incentive compensation, healthcare-related costs and payroll taxes, and covers drivers and dockworkers, operations and facility workers and employees in support roles and other positions. Salaries, wages and employee benefits in 2025 was $3.42 billion, or 42.0% of revenue, compared with $3.38 billion, or 41.8% of revenue, in 2024. The year-over-year increase as a percentage of revenue primarily reflects higher costs due to the insourcing of a greater proportion of linehaul from third-party transportation providers in our North American LTL segment and wage inflation.</w:t>
      </w:r>
    </w:p>
    <w:p>
      <w:pPr>
        <w:spacing w:after="0" w:line="1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Purchased transportation includes costs of procuring third-party freight transportation. Purchased transportation in 2025 was $1.66 billion, or 20.4% of revenue, compared with $1.70 billion, or 21.1% of revenue, in 2024. The year-over-year decrease as a percentage of revenue primarily reflects the insourcing of a greater proportion of linehaul from third-party transportation providers in our North American LTL segment, partially offset by higher purchased transportation in our European Transportation segment.</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Fuel, operating expenses and supplies includes the cost of fuel purchased for use in our vehicles as well as related taxes, maintenance and lease costs for our equipment, including tractors and trailers, costs related to operating our owned and leased facilities, bad debt expense, third-party professional fees, information technology expenses and supplies expense. Fuel, operating expenses and supplies was $1.57 billion in 2025, or 19.3% of revenue, compared with $1.59 billion, or 19.7% of revenue, in 2024. The year-over-year decrease as a percentage of revenue primarily reflects lower fuel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4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taxes and licenses includes tax expenses related to our vehicles and our owned and leased facilities as well as license expenses to operate our vehicles. Operating taxes and licenses in 2025 was $83 million, compared with $80 million in 2024.</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Insurance and claims includes costs related to vehicular and cargo claims for both purchased insurance and self-insurance programs. Insurance and claims in 2025 was $167 million, compared with $134 million in 2024. The year-over-year increase primarily reflects higher vehicular insurance costs in our North American LTL segment.</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Gains on sales of property and equipment in 2025 was $17 million, compared with $40 million in 2024. The year-over-year decrease primarily reflects lower gains on real estate transactions in our North American LTL segment in 2025 compared with 2024.</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 2025 was $521 million, compared with $490 million in 2024. The year-over-year increase reflects the impact of capital investments in property, tractors and trailers in our North American LTL segment.</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Pre-Con-way acquisition environmental matter for 2025 was a charge of $35 million, with no comparable charges in 2024. This matter relates to environmental and product liability claims involving truck and part manufacturing plants of a former subsidiary of Con-way, which they sold in 1981 long before XPO's acquisition of Con-way in 2015. The matter is solely related to a legacy Con-way truck manufacturing business and is unrelated to the operations of our North American LTL segment.</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Legal matters was a gain of $13 million in 2025, with no comparable gain in 2024. The gain recognized in 2025 reflects the settlement of claims against certain truck manufacturers related to purchases by our European Transportation segment covering periods prior to our acquisition of Norbert Dentressangle SA in 2015.</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in 2025 were $8 million, compared with $53 million in 2024. The year-over-year decrease primarily relates to no further stock-based compensation costs in the current year for certain employees related to strategic initiatives.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Restructuring costs in 2025 were $59 million, compared with $27 million in 2024. We engage in restructuring actions as part of our ongoing efforts to best use our resources and infrastructure. In 2025, restructuring costs primarily reflect share-based compensation in Corporate, and severance and related charges incurred in connection with headcount reduction initiatives in our European Transportation segment. In 2024, restructuring costs primarily related to headcount reduction initiatives in our European Transportation segment. For more information, see Note 5—Restructuring Charges to our Consolidated Financial Statements.</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income primarily consists of pension income for both 2025 and 2024, while 2024 also includes investment income. Other income for 2025 was $6 million, compared with $37 million in 2024. The year-over-year decrease reflects a $19 million decline in pension income and a $13 million decline in investment income related to the sale of a past investment in a private company in 2024.</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Debt extinguishment loss was $6 million in 2025, which related to the refinancing of our term loan facility in the first quarter of 2025. There was no debt extinguishment loss in 2024.</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for 2025 decreased 1.8% to $219 million, from $223 million in 2024. The decrease is primarily due to a reduction in our debt coupled with lower interest rates on our variable rate debt, partially offset by lower interest income. We anticipate interest expense to be between $205 million and $215 million in 2026.</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income before income tax provision in 2025 was $437 million, compared with $473 million in 2024. The decrease was primarily driven by lower other income and operating income. With respect to our U.S. operations, income before income tax provision was $456 million in 2025, compared with income of $486 million in 2024. The decrease was primarily due to lower revenue, higher insurance and claims, lower gains on real estate transactions, higher depreciation and amortization, higher costs related to legal matters, higher restructuring costs, and lower other income, partially offset by lower purchased transportation and lower transaction and integration costs. With respect to our non-U.S. operations, loss before income tax provision was $19 million in 2025, compared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a loss of $13 million in 2024. The increase in the loss is primarily due to higher purchased transportation, salaries, wages and employee benefits, and restructuring costs, partially offset by higher revenue and a gain on legal matters in 2025.</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effective income tax rates were 27.8% and 18.1% in 2025 and 2024, respectively. The increase in our effective income tax rate for 2025 compared to 2024 was primarily driven by a one-time tax benefit of $41 million associated with the legal entity reorganization in our European Transportation business that occurred in the second quarter of 2024, partially offset by $6 million in U.S. foreign tax credits recognized in 2025. For 2025, our effective tax rate was impacted by $12 million from non-deductible compensation and $12 million from losses for which no tax benefit can be recognized partially offset by $6 million in U.S. foreign tax credits. For 2024, our effective tax rate was impacted by $49 million of discrete tax benefits, the largest of which was a $41 million benefit from the legal entity reorganization in our European Transportation business, offset by $16 million from non-deductible compensation and $9 million from losses for which no tax benefit can be recognized.</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disclosed, we expected the legal entity reorganization in our European Transportation business to generate a net cash refund of approximately $45 million. In 2024, we made tax payments of $7 million and in 2025 we received a cash refund of $49 million. We expect to receive the remaining $3 million cash refund in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chief operating decision maker (“CODM”) regularly reviews financial information at the operating segment level to allocate resources to the segments and to assess their performance. For our North American LTL and European Transportation segments, our CODM evaluates segment profit (loss) based on adjusted earnings before interest, taxes, depreciation and amortization (“adjusted EBITDA”), which we define as income from continuing operations before debt extinguishment loss, interest expense, income tax provision, depreciation and amortization expense, legal matters, transaction and integration costs, restructuring costs and other adjustments. Segment adjusted EBITDA includes an allocation of corporate costs. See Note 3—Segment Reporting and Geographic Information for further information and a reconciliation of adjusted EBITDA to Income from continuing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American Less-Than-Truckload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4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0" w:type="dxa"/>
            <w:vAlign w:val="bottom"/>
          </w:tcPr>
          <w:p>
            <w:pPr>
              <w:spacing w:after="0"/>
              <w:rPr>
                <w:sz w:val="1"/>
                <w:szCs w:val="1"/>
                <w:color w:val="auto"/>
              </w:rPr>
            </w:pPr>
          </w:p>
        </w:tc>
      </w:tr>
      <w:tr>
        <w:trPr>
          <w:trHeight w:val="2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4,899</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1,115</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Percent of Revenue is calculated using the underlying unrounded amounts.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in our North American LTL segment decreased 1.4% to $4.8 billion in 2025, compared with $4.9 billion in 2024. Revenue included fuel surcharge revenue of $731 million and $785 million, respectively, for the years ended December 31, 2025 and 2024. The decrease in fuel surcharge revenue was primarily driven by lower diesel prices and lower volume.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evaluate the revenue performance of our LTL business using several commonly used metrics, including tonnage (weight per day in pounds) and yield, which is a commonly used measure of LTL pricing trends. We measure yield using gross revenue per hundredweight, excluding fuel surcharges. Impacts on yield can include weight per shipment and length of haul, among other factors, while impacts on tonnage can include shipments per day and weight per shipment. The following table summarizes our key revenue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554355</wp:posOffset>
            </wp:positionV>
            <wp:extent cx="32575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Pounds per day (thousands)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65,268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Shipments per day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49,420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weight per shipment (in pounds)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 per hundredweight, excluding fuel surcharges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25.39</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presented are calculated using the underlying unrounded amounts.</w:t>
      </w:r>
    </w:p>
    <w:p>
      <w:pPr>
        <w:spacing w:after="0" w:line="1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year-over-year decrease in revenue for 2025, excluding fuel surcharge revenue, reflects lower tonnage, almost entirely offset by higher yield, primarily related to our improvements in service quality and the benefit of numerous pricing initiatives. The decrease in tonnage per day reflects lower shipments per day and lower average weight per shipment.</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EBITDA was $1.14 billion in 2025, compared with $1.12 billion in 2024. Adjusted EBITDA included gains from real estate transactions of $15 million for the year ended December 31, 2025 and $34 million in 2024. Excluding these gains, the increase in adjusted EBITDA reflected higher yield, lower purchased transportation, productivity improvements and lower maintenance costs, partially offset by lower tonnage, lower fuel surcharge revenue, wage inflation, higher vehicular insurance costs and lower pension income.</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$381 million in 2025 compared with $346 million in 2024 due to the impact of capital investments in property, tractors and trailers.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Transportation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4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0" w:type="dxa"/>
            <w:vAlign w:val="bottom"/>
          </w:tcPr>
          <w:p>
            <w:pPr>
              <w:spacing w:after="0"/>
              <w:rPr>
                <w:sz w:val="1"/>
                <w:szCs w:val="1"/>
                <w:color w:val="auto"/>
              </w:rPr>
            </w:pPr>
          </w:p>
        </w:tc>
      </w:tr>
      <w:tr>
        <w:trPr>
          <w:trHeight w:val="2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3,173</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Percent of Revenue is calculated using the underlying unrounded amounts.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in our European Transportation segment increased 4.8% to $3.3 billion in 2025, compared with $3.2 billion in 2024. Foreign currency movement increased revenue by approximately 3.6 percentage points in 2025.</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Adjusted EBITDA was $147 million in 2025, compared with $158 million in 2024. The decrease in adjusted EBITDA was primarily driven by higher purchased transportation and salaries, wages and employee benefits, partially offset by higher revenue.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decreased to $136 million in 2025 compared with $140 million in 2024.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cash and cash equivalents balance was $310 million as of December 31, 2025, compared to $246 million as of December 31, 2024. Our principal existing sources of cash are (i) cash generated from operations; (ii) borrowings available under our Revolving Credit Facility (as defined below); and (iii) proceeds from the issuance of other debt. As of December 31, 2025, we have $600 million available to draw under our Revolving Credit Facility, after considering outstanding letters of credit of less than $1 million. Additionally, we have a $200 million uncommitted secured evergreen letter of credit facility, under which we have issued $133 million in aggregate face amount of letters of credit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February 2025, we terminated our Second Amended and Restated Revolving Credit Agreement, as amended, and entered into a Revolving Credit Agreement (the “Revolving Credit Agreement”). The Revolving Credit Agreement provides for revolving credit commitments in an aggregate amount of $600 million (the “Revolving Credit Facility”). See Note 11—Debt to our Consolidated Financial Statements for further information.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$910 million of total liquidity. 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Securitization and Factoring Programs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sell certain of our trade accounts receivable on a non-recourse basis to third-party financial institutions under factoring agreements. We also sell trade accounts receivable under a securitization program for our European transportation business. We use trade receivables securitization and factoring programs to help manage our cash flows and offset the impact of extended payment terms for some of our customers. For more information, see Note 2 — Significant Accounting Policies to our Consolidated Financial Statements.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maximum amount of net cash proceeds available at any one time under our securitization program, inclusive of any unsecured borrowings, is €200 million (approximately $235 million as of December 31, 2025). As of December 31, 2025, the maximum amount available under the program was utilized. Under the securitization program, we service the receivables we sell on behalf of the purchasers. In January 2026, the program was amended to extend the maturity date through March 2029.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Factoring programs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2025, we amended our Senior Secured Term Loan Credit Agreement. Pursuant to the amendment, the lenders provided the company (a) a term loan B facility in an aggregate principal amount of $700 million, maturing on May 24, 2028 (the “Refinancing Term Loan B-2 Facility”), and (b) a term loan B facility in an aggregate principal amount of $400 million, maturing on February 1, 2031 (the “Refinancing Term Loan B-3 Facility” and together with the Refinancing Term Loan B-2 Facility, the “Refinancing Term Loan Facilities”). The proceeds of the Refinancing Term Loan Facilities were used to refinance our existing term loans. We recorded a debt extinguishment loss of $5 million in the first quarter of 2025 due to this refinancing.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second half of 2025, we used cash on hand to repay $115 million of outstanding principal under the Refinancing Term Loan B-2 Facility, which was scheduled to mature in 2028.</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Refinancing Term Loan Facilities bear interest at a rate per annum equal to, at the Company’s option, either alternate base rate (“ABR”) or Term Secured Overnight Financing Rate (“SOFR”) plus (i) in the case of ABR Loans, 0.75% or, (ii) in the case of Term SOFR Loans, 1.75%, which shall be reduced by 0.25% upon the achievement of a Consolidated First Lien Net Leverage Ratio (as defined in the Amended Term Loan Credit Agreement) of less than or equal to 1.21 to 1.00. The Refinancing Term Loan Facilities are secured by a lien on substantially all of our assets and the assets of our guarantors, with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4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Amended Term Loan Credit Agreement contains customary mandatory prepayment requirements, representations and warranties, events of default, reporting and other affirmative covenants and negative covenants, including limitations on indebtedness, liens, investments, dividends, repayments of junior financings and asset sales, in each case subject to a number of important exceptions and qualifications.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of our term loans was approximately 5.4% as of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2025, our Board of Directors authorized repurchases of up to $750 million of our common stock. The repurchase authorization permits us to purchase shares in both the open market and in private transactions, with the timing and number of shares dependent on a variety of factors, including price, general business and market conditions, alternative investment opportunities and funding considerations. We retire common shares that we repurchase upon settlement. The new share repurchase program has no expiration date and may be utilized over time, with no obligation to repurchase any specific number of shares. We may suspend or discontinue this program at any time. This plan replaced our previous share repurchase plan, authorized in February 2019.</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2025, we repurchased 954 thousand shares of common stock with an aggregate value of $125 million at an average price of $130.96 per share. The share repurchases were funded by cash on hand. There were no share repurchases in 2024 and 2023. As of December 31, 2025, our remaining share repurchase authorization was $625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Covenants and Compliance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were in compliance with the covenants and other provisions of our debt agreements. Any failure to comply with any material provision or covenant of these agreements could have a material adverse effect on our liquidity and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from continuing operations, as reflected on our Consolidated Statements of Cash Flows,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left="1057"/>
              <w:spacing w:after="0"/>
              <w:rPr>
                <w:sz w:val="20"/>
                <w:szCs w:val="20"/>
                <w:color w:val="auto"/>
              </w:rPr>
            </w:pPr>
            <w:r>
              <w:rPr>
                <w:rFonts w:ascii="Times New Roman" w:cs="Times New Roman" w:eastAsia="Times New Roman" w:hAnsi="Times New Roman"/>
                <w:sz w:val="18"/>
                <w:szCs w:val="18"/>
                <w:color w:val="auto"/>
                <w:w w:val="96"/>
              </w:rPr>
              <w:t>986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left="1055"/>
              <w:spacing w:after="0"/>
              <w:rPr>
                <w:sz w:val="20"/>
                <w:szCs w:val="20"/>
                <w:color w:val="auto"/>
              </w:rPr>
            </w:pPr>
            <w:r>
              <w:rPr>
                <w:rFonts w:ascii="Times New Roman" w:cs="Times New Roman" w:eastAsia="Times New Roman" w:hAnsi="Times New Roman"/>
                <w:sz w:val="18"/>
                <w:szCs w:val="18"/>
                <w:color w:val="auto"/>
                <w:w w:val="96"/>
              </w:rPr>
              <w:t>808</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560" w:type="dxa"/>
            <w:vAlign w:val="bottom"/>
          </w:tcPr>
          <w:p>
            <w:pPr>
              <w:jc w:val="center"/>
              <w:ind w:left="1037"/>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1560" w:type="dxa"/>
            <w:vAlign w:val="bottom"/>
          </w:tcPr>
          <w:p>
            <w:pPr>
              <w:jc w:val="center"/>
              <w:ind w:left="1035"/>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 from continuing operations</w:t>
            </w:r>
          </w:p>
        </w:tc>
        <w:tc>
          <w:tcPr>
            <w:tcW w:w="1560" w:type="dxa"/>
            <w:vAlign w:val="bottom"/>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35"/>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2025, we: (i) generated cash from operating activities from continuing operations of $986 million and (ii) generated proceeds from sales of property and equipment of $41 million. We used cash during this period primarily to: (i) purchase property and equipment of $657 million; (ii) repurchase common stock of $125 million; (iii) repay $115 million of outstanding principal under the Refinancing Term Loan B-2 Facility; (iv) make payments on debt and finance leases of $73 million; and (v) make net payments of $50 million related to tax withholding obligations in connection with the vesting of restricted shares.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2024, we: (i) generated cash from operating activities from continuing operations of $808 million and (ii) generated proceeds from sales of property and equipment of $75 million. We used cash during this period primarily to: (i) purchase property and equipment of $789 million; (ii) make payments of $129 million related to tax withholding obligations in connection with the vesting of restricted shares; and (iii) make payments on debt and finance leases of $82 million.</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from continuing operations for 2025 increased by $178 million compared with 2024. The increase in 2025 compared with 2024 reflects: (i) the impact of operating assets and liabilities utilizing $45 million of cash in 2025, compared with utilizing $194 million in 2024; (ii) higher deferred tax expense of $42 million, that is added back in the determination of operating cash flows; (iii) higher non-cash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of $31 million, that is added back in the determination of operating cash flows; and (iv) lower gains on sales of property and equipment of $23 million, that is subtracted in the determination of operating cash flows. These items were partially offset by lower net income of $71 million.</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2025, we had $941 million of operating lease and related interest payment obligations, of which $204 million is due within the next twelve months. Additionally, we had operating leases that have not yet commenced with future undiscounted lease payments of $75 million. These operating leases will commence in 2026 with initial lease terms of 4 years to 15 years. For further information on our operating leases and their maturities, see Note 7—Leases to our Consolidated Financial Statements. As of December 31, 2025, we have approximately $75 million of purchase commitments, of which approximately $40 million is due within the next twelve months.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Investing activities from continuing operations used $616 million of cash in 2025 compared with $702 million used in 2024. During 2025, we used $657 million of cash to purchase property and equipment and received $41 million from sales of property and equipment. During 2024, we used $789 million of cash to purchase property and equipment and received $75 million of cash from sales of property and equipment, including $47 million related to the sale of a service center in our North American LTL segment in December 2024 from a planned service center relocation. In January 2025, the proceeds from this sale were used to purchase four new service centers that were previously leased. We anticipate gross capital expenditures to be between $500 million and $600 million in 2026, funded by cash on hand and available liquidity.</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Financing activities from continuing operations used $339 million of cash in 2025 compared with $226 million of cash used in 2024. The primary uses of cash from financing activities during 2025 were $125 million to repurchase common stock, $115 million to repay outstanding principal under the Refinancing Term Loan B-2 Facility, which was scheduled to mature in 2028, $73 million to repay borrowings, primarily related to finance lease obligations, and $50 million to make net payments for tax withholdings on restricted shares, primarily during the first quarter of 2025. The primary uses of cash from financing activities during 2024 was $129 million to make payments for tax withholdings on restricted shares, primarily driven by a payment of approximately $85 million for tax withholdings on XPO restricted stock units that vested during December, and $82 million used to repay borrowings, primarily related to finance lease obligations.</w:t>
      </w:r>
    </w:p>
    <w:p>
      <w:pPr>
        <w:spacing w:after="0" w:line="1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2025, we had $3.2 billion total outstanding principal amount of debt, excluding finance leases. We have no significant debt maturities until 2028. Interest on our Revolving Credit Facility and the Refinancing Term Loan Facilities is variable, while interest on our senior notes is at fixed rates. Future interest payments associated with our debt total $947 million at December 31, 2025, with $202 million payable within 12 months, and are estimated based on the principal amount of debt and applicable interest rates as of December 31, 2025. Additionally, as of December 31, 2025, we have $294 million of finance lease and related interest payment obligations, of which $62 million is due within the next twelve months. For further information on our debt facilities and maturities, see Note 11—Debt to our Consolidated Financial Statements. For further information on our finance lease maturities, see Note 7—Leases to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plans for some employees in the U.S. Historically, we have realized income, rather than expense, from these plans. We generated aggregate income from our plans of $6 million in 2025, $25 million in 2024 and $18 million in 2023. The plans have been generating income due to their funded status and because they do not allow for new plan participants or additional benefit accruals.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Defined benefit pension plan amounts are calculated using various actuarial assumptions and methodologies. Assumptions include discount rates, inflation rates, expected long-term rate of return on plan assets, mortality rates, and other factors. The assumptions used in recording the projected benefit obligations and fair value of plan assets represent our best estimates based on available information regarding historical experience and factors that may cause future expectations to differ. Differences in actual experience or changes in assumptions could materially impact our obligation and future expense or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determining the appropriate discount rate, we are assisted by actuaries who utilize a yield-curve model based on a universe of high-grade corporate bonds (rated AA or better by Moody’s, S&amp;P or Fitch rating services). The model determines a single equivalent discount rate by applying the yield curve to expected future benefit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rates used in determining the net periodic benefit costs and benefit obligations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Qualified Plans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Non-Qualified Plans</w:t>
            </w:r>
          </w:p>
        </w:tc>
      </w:tr>
      <w:tr>
        <w:trPr>
          <w:trHeight w:val="23"/>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 net periodic benefit costs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 - 5.25%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 - 5.05%</w:t>
            </w:r>
          </w:p>
        </w:tc>
      </w:tr>
      <w:tr>
        <w:trPr>
          <w:trHeight w:val="21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 benefit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5.63 %</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 - 5.20%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 - 5.55%</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or decrease of 25 basis points in the discount rate would increase or decrease our 2025 pre-tax pension income by less than $1 million.</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of Return on Plan Assets</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estimate the expected return on plan assets using current market data as well as historical returns. The expected return on plan assets is based on estimates of long-term returns and considers the plans’ anticipated asset allocation over the course of the next year. The plan assets are managed using a long-term liability-driven investment strategy that seeks to mitigate the funded status volatility by increasing participation in fixed-income investments generally as funded status increases. This strategy was developed by analyzing a variety of diversified asset-class combinations in conjunction with the projected liabilities of the plans.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expected return on plan assets was $77 million, compared to the actual return on plan assets of $130 million. The actual annualized return on plan assets for 2025 was approximately 10%, which was above the expected return on asset assumption for the year due to strong equity and fixed income market returns. An increase or decrease of 25 basis points in the expected return on plan assets would increase or decrease our 2025 pre-tax pension income by approximately $3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Actuarial Gains and Losses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Changes in the discount rate and/or differences between the expected and actual rate of return on plan assets results in unrecognized actuarial gains or losses. For our defined benefit pension plans, accumulated unrecognized actuarial losses were $167 million as of December 31, 2025. The portion of the unrecognized actuarial gain/loss that exceeds 10% of the greater of the projected benefit obligation or the fair value of plan assets at the beginning of the year is amortized and recognized as income/expense over the estimated average remaining life expectancy of plan participants.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Results</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effects of the defined benefit pension plans on our results consist primarily of the net effect of the interest cost on plan obligations and the expected return on plan assets. We estimate that the defined benefit pension plans will contribute annual pre-tax income in 2026 of approximately $14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pension contributions, we consider our cash position, the funded status as measured by the Pension Protection Act of 2006 and generally accepted accounting principles, and the tax deductibility of contributions, among other factors. We made benefit payments of $5 million in both 2025 and 2024 under the non-qualified plans and we estimate that we will make benefit payments of $5 million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12—Employee Benefit Plans to our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A summary of our significant accounting policies is contained in Note 2—Significant Accounting Policies to our Consolidated Financial Statements.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Goodwill</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as of August 31,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Application of the goodwill impairment test requires judgment, including the identification of reporting units, the assignment of assets and liabilities to reporting units, the assignment of goodwill to reporting units, and a determination of the fair value of each reporting unit.</w:t>
      </w:r>
    </w:p>
    <w:p>
      <w:pPr>
        <w:spacing w:after="0" w:line="1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our 2025 annual goodwill assessment, we performed a step-zero qualitative analysis for four of our reporting units. Based on the qualitative assessments performed, we concluded that it was not more-likely-than-not that the fair value of these reporting units was less than their carrying amounts and, therefore, further quantitative analysis was not performed, and we did not recognize any goodwill impairment. For our other reporting unit, we performed a quantitative analysis using a combination of income and market approaches. The fair value of the reporting unit exceeded its carrying value, resulting in no impairment of goodwill.</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our 2024 annual goodwill assessment, we performed a step-zero qualitative analysis for two of our reporting units. Based on the qualitative assessments performed, we concluded that it was not more-likely-than-not that the fair value of these reporting units was less than their carrying amounts and, therefore, further quantitative analysis was not performed, and we did not recognize any goodwill impairment. For our other three reporting units, we performed a quantitative analysis using a combination of income and market approaches. All reporting units had fair values in excess of their carrying values, resulting in no impairment of goodwill.</w:t>
      </w:r>
    </w:p>
    <w:p>
      <w:pPr>
        <w:spacing w:after="0" w:line="1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our 2023 annual goodwill assessment, we performed a step-zero qualitative analysis for our five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0" w:name="page41"/>
    <w:bookmarkEnd w:id="40"/>
    <w:p>
      <w:pPr>
        <w:spacing w:after="0" w:line="2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results, business plans, expected growth rates, cost of capital and tax rates. Our forecasts also reflect expectations concerning future economic conditions, interest rates and other market data. The market approach of determining fair value is generally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potential impairment.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Accruals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premium expense, and insurance availability. 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Additionally, claims may emerge in future years for events that occurred in a prior year at a rate that differs from previous actuarial projections. We believe the actuarial methods are appropriate for measuring these self-insurance accruals. However, because of the number of claims and the length of time from incurrence of the claims to ultimate settlement, the use of any estimation method is sensitive to the assumptions and factors described above along with other external factors. Accordingly, changes in these assumptions and factors can affect the estimated liability and those amounts may be different than the actual costs paid to settle the claims.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annual effective tax rate is based on our income and statutory tax rates in the various jurisdictions in which we operate. Judgment and estimates are required in determining our tax expense and in evaluating our tax positions, including evaluating uncertainties. Evaluating our tax positions would include but not be limited to our tax positions on internal restructuring transactions as well as the spin-offs of RXO and GXO. We review our tax positions quarterly and as new information becomes available. Our effective tax rate in any financial statement period may be materially impacted by changes in the mix and/or level of earnings by taxing jurisdiction.</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losses and tax credit carryforwards. We evaluate the recoverability of these future tax deductions and credits by assessing all available evidence, including the reversal of deferred tax liabilities, carrybacks available, and historical and projected pre-tax profits generated by our operations. Valuation allowances are established when, in management’s judgment, it is more likely than not that our deferred tax assets will not be realized. In assessing the need for a valuation allowance, management weighs the available positive and negative evidence, including limitations on the use of tax losses and other carryforwards due to changes in ownership, historic information, and projections of future sources of taxable income that include and exclude future reversals of taxable temporary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new accounting standards is included in Note 2—Significant Accounting Policies.</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market risk disclosures involve forward-looking statements. Actual results could differ materially from those projected in such forward-looking statements. We are exposed to market risk related to changes in interest rates, foreign currency exchange rates and commodity price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exposure to changes in interest rates on our debt, as follows: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As of December 31, 2025, we had an aggregate principal amount outstanding of $985 million on our Term Loan Facility. The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fluctuates based on the Secured Overnight Financing Rate (“SOFR”) or a Base Rate, as defined in the agreement, plus an applicable margin. Assuming an average annual aggregate principal amount outstanding of $985 million, a hypothetical 1% increase in the interest rate would have increased our annual interest expense by $10 million. Additionally, we utilize short-term interest rate swaps to mitigate variability in forecasted interest payments on our Term Loan Facility. The interest rate swaps convert floating-rate interest payments into fixed rate interest payments.</w:t>
      </w:r>
    </w:p>
    <w:p>
      <w:pPr>
        <w:spacing w:after="0" w:line="12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The interest rates on our Revolving Credit Facility fluctuate based on SOFR, the Canadian Overnight Repo Rate (“CORRA”)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Base Rate, as defined in the agreement, plus an applicable margin. Assuming our Revolving Credit Facility was fully drawn throughout 2025, a hypothetical 1% increase in the interest rate would have increased our annual interest expense by $6 million.</w:t>
      </w:r>
    </w:p>
    <w:p>
      <w:pPr>
        <w:spacing w:after="0" w:line="119"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Rate Debt. </w:t>
      </w:r>
      <w:r>
        <w:rPr>
          <w:rFonts w:ascii="Times New Roman" w:cs="Times New Roman" w:eastAsia="Times New Roman" w:hAnsi="Times New Roman"/>
          <w:sz w:val="18"/>
          <w:szCs w:val="18"/>
          <w:color w:val="auto"/>
        </w:rPr>
        <w:t>As of December 31, 2025, we had $2.3 billion of fair value of indebtedness (excluding finance leases and asset financings) that bears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at fixed rates. A 1% decrease in market interest rates as of December 31, 2025 would increase the fair value of our fixed-rate indebtedness by approximately 2%. For additional information concerning our debt, see Note 11—Debt to our Consolidated Financial Statements.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exposure to changes in interest rates as a result of our cash balances, which totaled $310 million as of December 31, 2025 and generally earn interest income that approximates the federal funds rate. Assuming an annual average cash balance of $310 million, a hypothetical 1% increase in the interest rate would reduce our net interest expense by $3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a uniform 10% strengthening in the value of the USD relative to the EUR would have resulted in an increase in net assets of $12 million, including the impacts from cross currency swaps. As of December 31, 2025, a uniform 10% strengthening in the value of the USD relative to the GBP would have resulted in a decrease in net assets of $36 million. These theoretical calculations assume that an instantaneous, parallel shift in exchange rates occurs, which is not consistent with our actual experience in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price fluctuations for diesel fuel purchased for use in our vehicles. During the year ended December 31, 2025, diesel prices fluctuated by as much as 14% in France, 32% in the United Kingdom, and 11% in the United States. We include fuel surcharge programs or other cost-recovery mechanisms in many of our customer contracts to mitigate the effect of any fuel price increases over base amounts established in the contract. For our North American LTL business, pricing agreements with customers include a fuel surcharge that is typically indexed to fuel prices published weekly by the U.S. Department of Energy. The extent to which we are able to recover increases in fuel costs may also be impacted by the amount of empty or out-of-route truck miles or engine idling time. See the applicable discussion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859155</wp:posOffset>
            </wp:positionV>
            <wp:extent cx="32575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6020" w:type="dxa"/>
            <w:vAlign w:val="bottom"/>
            <w:gridSpan w:val="5"/>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gridSpan w:val="3"/>
            <w:vMerge w:val="continue"/>
          </w:tcPr>
          <w:p>
            <w:pPr>
              <w:spacing w:after="0"/>
              <w:rPr>
                <w:sz w:val="13"/>
                <w:szCs w:val="13"/>
                <w:color w:val="auto"/>
              </w:rPr>
            </w:pPr>
          </w:p>
        </w:tc>
        <w:tc>
          <w:tcPr>
            <w:tcW w:w="6020" w:type="dxa"/>
            <w:vAlign w:val="bottom"/>
            <w:gridSpan w:val="5"/>
            <w:vMerge w:val="continue"/>
          </w:tcPr>
          <w:p>
            <w:pPr>
              <w:spacing w:after="0"/>
              <w:rPr>
                <w:sz w:val="13"/>
                <w:szCs w:val="13"/>
                <w:color w:val="auto"/>
              </w:rPr>
            </w:pPr>
          </w:p>
        </w:tc>
        <w:tc>
          <w:tcPr>
            <w:tcW w:w="58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6"/>
                <w:szCs w:val="16"/>
                <w:color w:val="0000FF"/>
                <w:w w:val="99"/>
              </w:rPr>
              <w:t>44</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40" w:type="dxa"/>
            <w:vAlign w:val="bottom"/>
            <w:shd w:val="clear" w:color="auto" w:fill="0000FF"/>
          </w:tcPr>
          <w:p>
            <w:pPr>
              <w:spacing w:after="0"/>
              <w:rPr>
                <w:sz w:val="2"/>
                <w:szCs w:val="2"/>
                <w:color w:val="auto"/>
              </w:rPr>
            </w:pPr>
          </w:p>
        </w:tc>
        <w:tc>
          <w:tcPr>
            <w:tcW w:w="1360" w:type="dxa"/>
            <w:vAlign w:val="bottom"/>
            <w:gridSpan w:val="2"/>
            <w:shd w:val="clear" w:color="auto" w:fill="0000FF"/>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4"/>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2025 and 2024</w:t>
            </w:r>
          </w:p>
        </w:tc>
        <w:tc>
          <w:tcPr>
            <w:tcW w:w="6020" w:type="dxa"/>
            <w:vAlign w:val="bottom"/>
            <w:gridSpan w:val="5"/>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47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Years Ended December 31, 2025, 2024 and 2023</w:t>
            </w:r>
          </w:p>
        </w:tc>
        <w:tc>
          <w:tcPr>
            <w:tcW w:w="4220" w:type="dxa"/>
            <w:vAlign w:val="bottom"/>
            <w:gridSpan w:val="4"/>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48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Years Ended December 31, 2025, 2024 and 2023</w:t>
            </w: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49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780" w:type="dxa"/>
            <w:vAlign w:val="bottom"/>
            <w:gridSpan w:val="2"/>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 for the Years Ended December 31, 2025, 2024 and 2023</w:t>
            </w: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3520" w:type="dxa"/>
            <w:vAlign w:val="bottom"/>
            <w:gridSpan w:val="2"/>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857250</wp:posOffset>
            </wp:positionV>
            <wp:extent cx="3257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XPO, Inc. and subsidiaries (the Company) as of December 31, 2025 and 2024, the related consolidated statements of income, comprehensive income, cash flows, and changes in equity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756920</wp:posOffset>
            </wp:positionV>
            <wp:extent cx="3257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4" w:name="page45"/>
    <w:bookmarkEnd w:id="44"/>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for self-insured claims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uses a combination of self-insurance programs and purchased insurance to provide for the costs of vehicular, and workers’ compensation claims (self-insured claims). The Company records estimates of the undiscounted liability associated with claims incurred as of the balance sheet date, including estimates of claims incurred but not reported, by considering historical cost experience, demographic and severity factors, and judgments about current and expected levels of cost per claim and retention levels. These liabilities are recorded within accrued liabilities and other long-term liabilities as of December 31, 2025.</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assessment of the estimated liabilities for self-insured claims as a critical audit matter. The evaluation of the uncertainty in the amounts that will ultimately be paid to settle these claims required subjective auditor judgment. Assumptions that may affect the estimated liability of claims include the consideration of historical cost experience, severity factors, and judgments about current and expected levels of cost per claims that have uncertainty related to future occurrences or events and conditions. Additionally, the Company’s liabilities for self-insured claims included estimates for expenses of claims that have been incurred but have not been reported, and specialized skills were needed to evaluate the actuarial methods and assumptions used to make these estimates.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self-insurance process. This included controls over the assumptions used in estimating the liabilities for self-insured claims. In addition, for a sample of claims, we compared the Company’s estimates of liabilities for individual self-insured claims to current available information, which included legal claims, incident and case reports, current and historical cost experience, or other evidence. We involved an actuarial professional with specialized skills and knowledge, who assisted in:</w:t>
      </w:r>
    </w:p>
    <w:p>
      <w:pPr>
        <w:spacing w:after="0" w:line="1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actuarial reserving methodologies with accepted actuarial methods and procedures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assumptions used in determining the liability, including expected level of cost per claim, in relation to recent historical loss payment trends and demographic and severity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482600</wp:posOffset>
            </wp:positionV>
            <wp:extent cx="3257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5"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expected range of liabilities, including liabilities for claims that have been incurred but have not been recorded, based on actuarial methodologies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recorded liability to the independently developed liability range.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531495</wp:posOffset>
            </wp:positionV>
            <wp:extent cx="32575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760" w:type="dxa"/>
            <w:vAlign w:val="bottom"/>
            <w:tcBorders>
              <w:top w:val="single" w:sz="8" w:color="auto"/>
            </w:tcBorders>
            <w:shd w:val="clear" w:color="auto" w:fill="CCEEFF"/>
          </w:tcPr>
          <w:p>
            <w:pPr>
              <w:ind w:left="40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receivable, net of allowances of $40 and $50,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Property and equipment, net of $2,360 and $2,019 in accumulated depreciation,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Identifiable intangible assets, net of $580 and $499 in accumulated amortization, respectively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Total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0" w:type="dxa"/>
            <w:vAlign w:val="bottom"/>
          </w:tcPr>
          <w:p>
            <w:pPr>
              <w:spacing w:after="0"/>
              <w:rPr>
                <w:sz w:val="1"/>
                <w:szCs w:val="1"/>
                <w:color w:val="auto"/>
              </w:rPr>
            </w:pPr>
          </w:p>
        </w:tc>
      </w:tr>
      <w:tr>
        <w:trPr>
          <w:trHeight w:val="207"/>
        </w:trPr>
        <w:tc>
          <w:tcPr>
            <w:tcW w:w="886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60" w:type="dxa"/>
            <w:vAlign w:val="bottom"/>
            <w:gridSpan w:val="2"/>
            <w:shd w:val="clear" w:color="auto" w:fill="CCEEFF"/>
          </w:tcPr>
          <w:p>
            <w:pPr>
              <w:ind w:left="26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Employee benefit obligations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0" w:type="dxa"/>
            <w:vAlign w:val="bottom"/>
          </w:tcPr>
          <w:p>
            <w:pPr>
              <w:spacing w:after="0"/>
              <w:rPr>
                <w:sz w:val="1"/>
                <w:szCs w:val="1"/>
                <w:color w:val="auto"/>
              </w:rPr>
            </w:pPr>
          </w:p>
        </w:tc>
      </w:tr>
      <w:tr>
        <w:trPr>
          <w:trHeight w:val="19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860" w:type="dxa"/>
            <w:vAlign w:val="bottom"/>
            <w:gridSpan w:val="2"/>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Common stock, $0.001 par value; 300 shares authorized; 117 shares issued and</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outstanding as of December 31, 2025 and 2024, respectively</w:t>
            </w: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0" w:type="dxa"/>
            <w:vAlign w:val="bottom"/>
          </w:tcPr>
          <w:p>
            <w:pPr>
              <w:spacing w:after="0"/>
              <w:rPr>
                <w:sz w:val="1"/>
                <w:szCs w:val="1"/>
                <w:color w:val="auto"/>
              </w:rPr>
            </w:pPr>
          </w:p>
        </w:tc>
      </w:tr>
      <w:tr>
        <w:trPr>
          <w:trHeight w:val="207"/>
        </w:trPr>
        <w:tc>
          <w:tcPr>
            <w:tcW w:w="886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0" w:type="dxa"/>
            <w:vAlign w:val="bottom"/>
          </w:tcPr>
          <w:p>
            <w:pPr>
              <w:spacing w:after="0"/>
              <w:rPr>
                <w:sz w:val="1"/>
                <w:szCs w:val="1"/>
                <w:color w:val="auto"/>
              </w:rPr>
            </w:pPr>
          </w:p>
        </w:tc>
      </w:tr>
      <w:tr>
        <w:trPr>
          <w:trHeight w:val="23"/>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428625</wp:posOffset>
            </wp:positionV>
            <wp:extent cx="3257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0"/>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Insurance and claims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Gains on sales of property and equipment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Pre-Con-way acquisition environmental matter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Legal matters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Debt extinguishment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 provision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7440" w:type="dxa"/>
            <w:vAlign w:val="bottom"/>
            <w:tcBorders>
              <w:top w:val="single" w:sz="8" w:color="CCEEFF"/>
              <w:bottom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0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 per share data</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Basic loss per share from discontinued operations</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7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gridSpan w:val="2"/>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 loss per share from 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4"/>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0"/>
        </w:trPr>
        <w:tc>
          <w:tcPr>
            <w:tcW w:w="7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gain (loss), net of tax effect of $19, $(9) and $12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7800" w:type="dxa"/>
            <w:vAlign w:val="bottom"/>
            <w:gridSpan w:val="2"/>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Unrealized gain (loss) on financial assets/liabilities designated as hedging instruments, net of tax</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effect of $0, $0 and $1</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Defined benefit plans adjustment, net of tax effect of $(6), $5 and $9</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582930</wp:posOffset>
            </wp:positionV>
            <wp:extent cx="32575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 of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65"/>
        </w:trPr>
        <w:tc>
          <w:tcPr>
            <w:tcW w:w="73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income from continuing operations to net cash</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from operating activities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Accretion of debt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19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 of continuing operations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for purchases of property and equipment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settlement of cross currency swaps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Proceeds from sale of investment</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 from continuing operations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19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 of continuing operations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Repurchase of debt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Repayment of debt and finance leases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Change in bank overdrafts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for tax withholdings for restricted shares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403225</wp:posOffset>
            </wp:positionV>
            <wp:extent cx="3257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167640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wp:posOffset>
            </wp:positionV>
            <wp:extent cx="65919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00"/>
          </w:cols>
          <w:pgMar w:left="400" w:top="1319" w:right="39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Operating activities of discontinued operations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Investing activities of discontinued operations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Financing activities of discontinued operations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discontinued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year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 from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368935</wp:posOffset>
            </wp:positionV>
            <wp:extent cx="32575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167640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wp:posOffset>
            </wp:positionV>
            <wp:extent cx="65919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00"/>
          </w:cols>
          <w:pgMar w:left="400" w:top="1319" w:right="399" w:bottom="1440" w:gutter="0" w:footer="0" w:header="0"/>
        </w:sectPr>
      </w:pPr>
    </w:p>
    <w:bookmarkStart w:id="51" w:name="page52"/>
    <w:bookmarkEnd w:id="51"/>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dollars in millions)</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84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69"/>
        </w:trPr>
        <w:tc>
          <w:tcPr>
            <w:tcW w:w="47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115,435</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1,012</w:t>
            </w:r>
          </w:p>
        </w:tc>
        <w:tc>
          <w:tcPr>
            <w:tcW w:w="0" w:type="dxa"/>
            <w:vAlign w:val="bottom"/>
          </w:tcPr>
          <w:p>
            <w:pPr>
              <w:spacing w:after="0"/>
              <w:rPr>
                <w:sz w:val="1"/>
                <w:szCs w:val="1"/>
                <w:color w:val="auto"/>
              </w:rPr>
            </w:pPr>
          </w:p>
        </w:tc>
      </w:tr>
      <w:tr>
        <w:trPr>
          <w:trHeight w:val="18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withholdings related to vesting of stock compensation awards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116,073</w:t>
            </w:r>
          </w:p>
        </w:tc>
        <w:tc>
          <w:tcPr>
            <w:tcW w:w="10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1,266</w:t>
            </w:r>
          </w:p>
        </w:tc>
        <w:tc>
          <w:tcPr>
            <w:tcW w:w="0" w:type="dxa"/>
            <w:vAlign w:val="bottom"/>
          </w:tcPr>
          <w:p>
            <w:pPr>
              <w:spacing w:after="0"/>
              <w:rPr>
                <w:sz w:val="1"/>
                <w:szCs w:val="1"/>
                <w:color w:val="auto"/>
              </w:rPr>
            </w:pPr>
          </w:p>
        </w:tc>
      </w:tr>
      <w:tr>
        <w:trPr>
          <w:trHeight w:val="202"/>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withholdings related to vesting of stock compensation awards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117,174</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840105</wp:posOffset>
            </wp:positionV>
            <wp:extent cx="24003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167640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-50800</wp:posOffset>
            </wp:positionV>
            <wp:extent cx="70548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52" w:name="page53"/>
    <w:bookmarkEnd w:id="52"/>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(continued)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dollars in millions)</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84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117,174</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(246)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1,601</w:t>
            </w:r>
          </w:p>
        </w:tc>
        <w:tc>
          <w:tcPr>
            <w:tcW w:w="0" w:type="dxa"/>
            <w:vAlign w:val="bottom"/>
          </w:tcPr>
          <w:p>
            <w:pPr>
              <w:spacing w:after="0"/>
              <w:rPr>
                <w:sz w:val="1"/>
                <w:szCs w:val="1"/>
                <w:color w:val="auto"/>
              </w:rPr>
            </w:pPr>
          </w:p>
        </w:tc>
      </w:tr>
      <w:tr>
        <w:trPr>
          <w:trHeight w:val="18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withholdings related to vesting of stock compensation awards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6"/>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888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(187)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1,861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574675</wp:posOffset>
            </wp:positionV>
            <wp:extent cx="24003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167640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-50800</wp:posOffset>
            </wp:positionV>
            <wp:extent cx="70548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53" w:name="page54"/>
    <w:bookmarkEnd w:id="53"/>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XPO, Inc., together with its subsidiaries (“XPO,” “we” or the “Company”), is a leading provider of freight transportation services. We use our proprietary technology to move goods efficiently through our customers’ supply chains in North America and Europe. See Note 3—Segment Reporting and Geographic Information for additional information on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Within our consolidated financial statements and the accompanying notes, certain amounts may not add due to the use of rounded numbers. Unless otherwise indicated, percentages presented are calculated from the underlying numbers in millions.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XPO, our wholly-owned subsidiaries, and our majority-owned subsidiaries and variable interest entity (“VIE”) where we are the primary beneficiary. We have eliminated intercompany accounts and transactions.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determine if we are a primary beneficiary of a VIE, we evaluate whether we are able to direct the activities that significantly impact the VIE’s economic performance, including whether we control the operations of each VIE and whether we can operate the VIE under our brand or policies. Investors in the VIE only have recourse to the assets owned by the VIE and not to our general credit. We do not have implicit support arrangements with the VIE. We consolidate the VIE, which is comprised of the special purpose entity related to the European trade securitization program discussed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controlling financial interest in entities generally when we own a majority of the voting interest.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revenue when we transfer control of promised products or services to customers in an amount equal to the consideration we expect to receive for those products or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24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generate revenue by providing less-than-truckload and other transportation services for our customers. Additional services may be provided to our customers under their transportation contracts, including unloading and other incidental services. The transaction price is based on the consideration specified in the customer’s contract.</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We recognize transportation revenue proportionally as a shipment moves from origin to destination and the related costs are recognized as incurred. Some of our customer contracts contain our promise to stand ready to provide transportation services. For these contracts, we recognize revenue on a straight-line basis over the term of the contract because the pattern of benefit to the customer, and our efforts to fulfill the contract, are generally distributed evenly throughout the period. Performance obligations are generally short-term, with transit times usually less than one week. Generally, customers are billed on shipment of the freight or on a monthly basis and make payment according to approved payment terms. When we do not control the specific services, we recognize revenue as the difference between the amount the customer pays us for the service less the amount we are charged by third parties who provide the service.</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expense the incremental costs of obtaining contracts when incurred if the amortization period of the assets is one year or less. These costs are included in Salaries, wages and employee benefits on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on the date of purchase to be cash equivalents.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31, 2025, 2024 and 2023, our restricted cash included in Other long-term assets on our Consolidated Balance Sheets was $20 million,</w:t>
      </w:r>
    </w:p>
    <w:p>
      <w:pPr>
        <w:spacing w:after="0" w:line="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$53 million and $7 million, respectively. Our restricted cash balance as of December 31, 2024 included approximately $47 million of proceeds received from the sale of a service center in our North American LTL segment in December 2024 that was used to purchase four new service centers in January 2025 that were previously leased.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 accounts receivable at the contractual amount and we record an allowance for credit losses for the amount we estimate we may not collect. In determining the allowance for credit losses, we consider historical collection experience, the age of the accounts receivable balances, the credit quality and risk of our customers, any specific customer collection issues, current economic conditions, and other factors that may impact our customers’ ability to pay. We write off accounts receivable balances once the receivables are no longer deemed collectible.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360" w:type="dxa"/>
            <w:vAlign w:val="bottom"/>
          </w:tcPr>
          <w:p>
            <w:pPr>
              <w:spacing w:after="0"/>
              <w:rPr>
                <w:sz w:val="19"/>
                <w:szCs w:val="19"/>
                <w:color w:val="auto"/>
              </w:rPr>
            </w:pPr>
          </w:p>
        </w:tc>
        <w:tc>
          <w:tcPr>
            <w:tcW w:w="116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Securitization and Factoring Programs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for our European transportation business. We use trade receivables securitization and factoring programs to help manage our cash flows and offset the impact of extended payment terms for some of our customers.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trade receivables securitization program, a wholly-owned bankruptcy-remote special purpose entity of XPO sells trade receivables that originate with wholly-owned subsidiaries to unaffiliated entities. The program contains financial covenants customary for this type of arrangement, including maintaining a defined average days sales outstanding ratio. In January 2026, the program was amended to extend the maturity date through March 2029.</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maximum amount of net cash proceeds available at any one time under our securitization program, inclusive of any unsecured borrowings, is €200 million (approximately $235 million as of December 31, 2025). As of December 31, 2025, the maximum amount available under the program was utilized. The weighted average interest rate was 3.90% as of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record property and equipment at cost, or in the case of property and equipment acquired in a business combination, at fair value at the date of acquisition.</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internal-use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328930</wp:posOffset>
            </wp:positionV>
            <wp:extent cx="32575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compute depreciation expense on a straight-line basis over the estimated useful lives of the assets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of lease to 40 years</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 tractors and trailers</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14 years</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10 years</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inception. We recognize operating lease right-of-use assets and liabilities at the lease commencement date based on the estimated present value of the lease payments over the lease term. As most of our leases do not provide an implicit rate, we use incremental borrowing rates based on the information available at commencement date to determine the present value of future lease payments. This rate is determined from a hypothetical yield curve that takes into consideration market yield levels of our relevant debt outstanding as well as the corresponding index that matches our credit rating, and then adjusts as if the borrowings were collateralized.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include options to extend or terminate a lease in the lease term when we are reasonably certain to exercise such options. We exclude variable lease payments (such as payments not based on an index or reimbursements of lessor costs) from our initial measurement of the lease liability. We recognize leases with an initial term of 12 months or less as lease expense over the lease term and those leases are not recorded on our Consolidated Balance Sheets. We account for lease and non-lease components within a contract as a single lease component for our real estate leases. For additional information on our leases, see Note 7—Leases.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liability for an asset retirement obligation is recorded in the period in which it is incurred. When an asset retirement obligation liability is initially recorded, we capitalize the cost by increasing the carrying amount of the related long-lived asset. For each subsequent period, the liability is increased for accretion expense and the capitalized cost is depreciated over the useful life of the related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as of August 31,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our 2025 annual goodwill assessment, we performed a step-zero qualitative analysis for four of our reporting units. Based on the qualitative assessments performed, we concluded that it was not more-likely-than-not that the fair value of these reporting units was less than their carrying amounts and, therefore, further quantitative analysis was not performed, and we did not recognize any goodwill impairment. For our other reporting unit, we performed a quantitative analysis using a combination of income and market approaches. The fair value of the reporting unit exceeded its carrying value, resulting in no 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325120</wp:posOffset>
            </wp:positionV>
            <wp:extent cx="32575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2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our 2024 annual goodwill assessment, we performed a step-zero qualitative analysis for two of our reporting units. Based on the qualitative assessments performed, we concluded that it was not more-likely-than-not that the fair value of these reporting units was less than their carrying amounts and, therefore, further quantitative analysis was not performed, and we did not recognize any goodwill impairment. For our other three reporting units, we performed a quantitative analysis using a combination of income and market approaches. All reporting units had fair values in excess of their carrying values, resulting in no impairment of goodwill.</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our 2023 annual goodwill assessment, we performed a step-zero qualitative analysis for our five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generally based on comparable market multiples for companies engaged in similar businesses, as well as recent transactions within our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intangible assets subject to amortization consist primarily of customer relationships and favorable leases.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review long-lived assets to be held-and-used, including tangible assets and intangible assets subject to amortization,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commensurate with the risks associated with the recovery of the asset. We amortize intangible assets on a straight-line basis or on a basis consistent with the pattern in which the economic benefits are realized. The estimated useful life for intangible assets at December 31, 2025 is 14 to 25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expenses as of December 31,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transportation and facility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 claims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premium expense, and insurance availability.</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Liabilities for the risks we retain, including estimates of claims incurred but not reported, are not discounted and are estimated, in part, by considering historical cost experience, demographic and severity factors, and judgments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 and expected levels of cost per claim and retention levels. Changes in these assumptions and factors can impact actual costs paid to settle the claims and those amounts may be different than our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7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Shares purchased under our share repurchase program are retired upon settlement. We charge any excess of cost over par value to Additional paid-in capital if a balance is present. If Additional paid-in capital is fully depleted, any remaining excess of cost over par value will be charged to Retained earnings.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components of and changes in accumulated other comprehensive income (loss) (“AOCI”), net of tax, for the years ended December 31, 2025 and 2024,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Attributable to</w:t>
            </w:r>
          </w:p>
        </w:tc>
        <w:tc>
          <w:tcPr>
            <w:tcW w:w="0" w:type="dxa"/>
            <w:vAlign w:val="bottom"/>
          </w:tcPr>
          <w:p>
            <w:pPr>
              <w:spacing w:after="0"/>
              <w:rPr>
                <w:sz w:val="1"/>
                <w:szCs w:val="1"/>
                <w:color w:val="auto"/>
              </w:rPr>
            </w:pPr>
          </w:p>
        </w:tc>
      </w:tr>
      <w:tr>
        <w:trPr>
          <w:trHeight w:val="146"/>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Hedges</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 Liability</w:t>
            </w:r>
          </w:p>
        </w:tc>
        <w:tc>
          <w:tcPr>
            <w:tcW w:w="34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XPO</w:t>
            </w:r>
          </w:p>
        </w:tc>
        <w:tc>
          <w:tcPr>
            <w:tcW w:w="0" w:type="dxa"/>
            <w:vAlign w:val="bottom"/>
          </w:tcPr>
          <w:p>
            <w:pPr>
              <w:spacing w:after="0"/>
              <w:rPr>
                <w:sz w:val="1"/>
                <w:szCs w:val="1"/>
                <w:color w:val="auto"/>
              </w:rPr>
            </w:pPr>
          </w:p>
        </w:tc>
      </w:tr>
      <w:tr>
        <w:trPr>
          <w:trHeight w:val="214"/>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2024</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7"/>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on a legal entity and jurisdictional basis, under which we recognize the amount of taxes payable or refundable for the current year and deferred tax assets and 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Evaluating our tax positions would include but not be limited to our tax positions on internal restructuring transactions as well as the spin-offs of RXO and GXO.</w:t>
      </w:r>
    </w:p>
    <w:p>
      <w:pPr>
        <w:spacing w:after="0" w:line="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Valuation allowances are established when, in our judgment, it is more likely than not that our deferred tax assets will not be realized based on all available evidence. We record Global Intangible Low-Taxed Income (“GILTI”) tax as a period cost.</w:t>
      </w:r>
    </w:p>
    <w:p>
      <w:pPr>
        <w:spacing w:after="0" w:line="1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our income tax receivable included in Other current assets on our Consolidated Balance Sheets was $53 million and $77 million, respectively.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tax returns are subject to examination by U.S. Federal, state and foreign taxing jurisdictions. We regularly assess the potential outcomes of these examinations and any future examinations for the current or prior years.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325120</wp:posOffset>
            </wp:positionV>
            <wp:extent cx="325755"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Consolidated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convert foreign currency transactions recognized on our Consolidated Statements of Income to USD by applying the exchange rate prevailing on the date of the transaction. Gains and losses arising from foreign currency transactions and the effects of remeasuring monetary assets and liabilities are recorded in Other income on our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generally utilizing pricing models or other valuation techniques that reflect management’s judgment and estimates.</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December 31, 2025 and 2024 due to their short-term nature and/or being receivable or payable on demand. The Level 1 cash equivalents include money market funds valued using quoted prices in active markets and a cash deposit for the securitization program.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of cash equivalents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3"/>
        </w:trPr>
        <w:tc>
          <w:tcPr>
            <w:tcW w:w="6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2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measure Level 1 equity investments at fair value on a recurring basis using quoted prices in active markets. We have no equity investments as of December 31, 2025, and, as of December 31, 2024, the value of our equity investment, reflected within Other current assets on our Consolidated Balance Sheets, was not material. During the year ended December 31, 2024, we recognized a gain on equity investments of $13 million in Other income on our Consolidated Statements of Income, while there was no material gain on equity investments in 2025.</w:t>
      </w:r>
    </w:p>
    <w:p>
      <w:pPr>
        <w:spacing w:after="0" w:line="1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information on the fair value hierarchy of our derivative instruments, financial liabilities and defined benefit pension plan assets, see Note 10— Derivative Instruments, Note 11—Debt and Note 12—Employee Benefit Plans,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record all derivative instruments on our Consolidated Balance Sheets as assets or liabilities at fair value. Our accounting treatment for changes in the fair value of derivative instruments depends on whether the instruments have been designated and qualify as part of a hedging relationship and on the type of hedging relationship. For those derivative instruments that are designated and qualify as hedging instruments, we must designate the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the exposure being hedged and assess, both at the hedge’s inception and on an ongoing basis, whether the designated derivative instruments are highly effective in offsetting changes in earnings and cash flows of the hedged items. When a derivative instrument is determined not to be highly effective as a hedge or the underlying hedged transaction is no longer probable, hedge accounting is discontinued prospectively. We link cash flow hedges to specific forecasted transactions or variability of cash flow to be paid.</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gain or loss resulting from fair value adjustments on cash flow hedges are recorded in AOCI on our Consolidated Balance Sheets until the hedged item is recognized in earnings and is presented in the same income statement line item as the earnings effect of the hedged item. The gains and losses on the net investment hedges are recorded as cumulative translation adjustments in AOCI to the extent that the instruments are effective in hedging the designated risk. Gains and losses on cash flow hedges and net investment hedges representing hedge components excluded from the assessment of effectiveness will be amortized into Interest expense on our Consolidated Statements of Income in a systematic manner.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calculate defined benefit pension plan obligations using various actuarial assumptions and methodologies. Assumptions include discount rates, inflation rates, expected long-term rate of return on plan assets, mortality rates, and other factors. The assumptions used in recording the projected benefit obligation and fair value of plan assets represent our best estimates based on available information regarding historical experience and factors that may cause future expectations to differ. Our obligation and future expense amounts could be materially impacted by differences in actual experience or changes in assumptions.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impact of plan amendments, actuarial gains and losses and prior-service costs are recorded in AOCI and are generally amortized as a component of net periodic benefit cost over the remaining service period of the active employees covered by the defined benefit pension plans. Unamortized gains and losses are amortized only to the extent they exceed 10% of the higher of the fair value of plan assets or the projected benefit obligation of the respective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on the date of the grant. For grants of RSUs subject to market-based vesting conditions, we establish the fair value using the Monte Carlo simulation lattice model. We determined the fair value of our stock-based awards based on our stock price and a number of assumptions, including expected volatility, expected life, risk-free interest rate and expected dividends. We account for forfeitures as they occur.</w:t>
      </w:r>
    </w:p>
    <w:p>
      <w:pPr>
        <w:spacing w:after="0" w:line="1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recognize the grant date fair value of equity awards as compensation cost over the requisite service period. We recognize expense for our performance-based restricted stock units (“PSUs”) over the awards’ requisite service period based on the number of awards expected to vest with consideration to the actual and expected financial results. We do not recognize expense until achievement of the performance targets for a PSU award is considered probable.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7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Credit Losses (Topic 326).” In developing forecasts as part of estimating expected credit losses, the ASU allows entities to elect a practical expedient that assumes that current conditions as of the balance sheet date do not change for the remaining life of the asset. We early adopted this standard in the fourth quarter of 2025, and it did not have a material impact on our financial statements.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The ASU modifies income tax disclosures by requiring (i) consistent categories and greater disaggregation of information in the rate reconciliations and (ii) the disclosure of income taxes paid disaggregated by jurisdiction, among other requirements. We adopted this standard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248" w:lineRule="exact"/>
        <w:rPr>
          <w:sz w:val="20"/>
          <w:szCs w:val="20"/>
          <w:color w:val="auto"/>
        </w:rPr>
      </w:pPr>
    </w:p>
    <w:p>
      <w:pPr>
        <w:ind w:right="1560"/>
        <w:spacing w:after="0" w:line="438" w:lineRule="auto"/>
        <w:rPr>
          <w:sz w:val="20"/>
          <w:szCs w:val="20"/>
          <w:color w:val="auto"/>
        </w:rPr>
      </w:pPr>
      <w:r>
        <w:rPr>
          <w:rFonts w:ascii="Times New Roman" w:cs="Times New Roman" w:eastAsia="Times New Roman" w:hAnsi="Times New Roman"/>
          <w:sz w:val="18"/>
          <w:szCs w:val="18"/>
          <w:color w:val="auto"/>
        </w:rPr>
        <w:t xml:space="preserve">retrospective basis for the 2025 annual period. The impact is limited to financial statement disclosures. See Note 15 —Income Taxes. </w:t>
      </w:r>
      <w:r>
        <w:rPr>
          <w:rFonts w:ascii="Times New Roman" w:cs="Times New Roman" w:eastAsia="Times New Roman" w:hAnsi="Times New Roman"/>
          <w:sz w:val="18"/>
          <w:szCs w:val="18"/>
          <w:b w:val="1"/>
          <w:bCs w:val="1"/>
          <w:i w:val="1"/>
          <w:iCs w:val="1"/>
          <w:color w:val="auto"/>
        </w:rPr>
        <w:t>Accounting Pronouncements Issued but Not Yet Effective</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 Accounting for Government Grants Received by Business Entities.” This ASU provides recognition, measurement and presentation guidance for government grants received by business entities and is effective for annual and interim periods beginning in 2029. Early adoption is permitted. We are currently evaluating the impact of the new standard.</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The ASU updates the guidance on accounting for internal-use software costs by (i) removing all references to software development stages, and (ii) requiring that an entity capitalize software costs when both management has authorized and committed to funding the software project, and it is probable that the project will be completed and the software will be used to perform the function intended. This ASU is effective for annual and interim periods beginning in 2028. Early adoption is permitted. We are currently evaluating the impact of the new standard.</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The ASU requires new tabular disclosures disaggregating prescribed expense categories within relevant income statement captions. In addition, the ASU requires disclosure of the total amount of selling expenses and, in annual periods, an entity’s definition of selling expenses, among other disclosure requirements. This ASU is effective for annual periods beginning in 2027, and for interim periods beginning January 1, 2028. Early adoption is permitted. We are currently evaluating the impact of the new standard, which is limited to financial statement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873760</wp:posOffset>
            </wp:positionV>
            <wp:extent cx="32575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2" w:name="page63"/>
    <w:bookmarkEnd w:id="6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 and Geographic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organized into two reportable segments: North American LTL, the largest component of our business, and European Transportation.</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our North American LTL segment, we provide shippers with geographic density and day-definite domestic and cross-border services to the U.S., as well as Mexico, Canada and the Caribbean. Our North American LTL segment also includes the results of our trailer manufacturing operation.</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our European Transportation segment, we serve an extensive base of customers within the consumer, trade and industrial markets. We offer dedicated truckload, LTL, full truckload brokerage, warehousing, managed transportation, last mile, freight forwarding, and multimodal solutions.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Corporate includes corporate headquarters costs for executive officers and certain legal and financial functions, and other costs and credits not attributed to our reportable segments.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Our CODM regularly reviews financial information at the operating segment level to allocate resources to the segments and to assess their performance. We include items directly attributable to a segment, and those that can be allocated on a reasonable basis, including corporate costs, in segment results reported to the CODM. We do not provide asset information by segment to the CODM.</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CODM evaluates segment profit (loss) based on adjusted earnings before interest, taxes, depreciation and amortization (“adjusted EBITDA”), which we define as income from continuing operations before debt extinguishment loss, interest expense, income tax provision, depreciation and amortization expense, legal matters, transaction and integration costs, restructuring costs and other adjustments.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CODM uses adjusted EBITDA to allocate resources, including property and equipment and financial or capital resources, to the segments and to assess their performance by monitoring budget-to-actual and year-over-year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revenue and significant segment expenses that are included within adjusted EBITDA: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European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480" w:type="dxa"/>
            <w:vAlign w:val="bottom"/>
            <w:gridSpan w:val="2"/>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(income) expense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0" w:type="dxa"/>
            <w:vAlign w:val="bottom"/>
          </w:tcPr>
          <w:p>
            <w:pPr>
              <w:spacing w:after="0"/>
              <w:rPr>
                <w:sz w:val="1"/>
                <w:szCs w:val="1"/>
                <w:color w:val="auto"/>
              </w:rPr>
            </w:pPr>
          </w:p>
        </w:tc>
      </w:tr>
      <w:tr>
        <w:trPr>
          <w:trHeight w:val="459"/>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European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480" w:type="dxa"/>
            <w:vAlign w:val="bottom"/>
            <w:gridSpan w:val="2"/>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(income) expense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391"/>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European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on sales of property and equipment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(income) expense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Primarily represents unallocated corporate costs, as well as investment income of approximately $13 million within Other (income) expense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838200</wp:posOffset>
            </wp:positionV>
            <wp:extent cx="32575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adjusted EBITDA by segment and provides a reconciliation to consolidated income from continuing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American LTL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extinguishment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Pre-Con-way acquisition environmental matter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Legal matters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environmental and product liability claims involving a former subsidiary of Con-way, which was sold prior to XPO's acquisition of Con-way in 2015.</w:t>
      </w:r>
    </w:p>
    <w:p>
      <w:pPr>
        <w:spacing w:after="0" w:line="163" w:lineRule="exact"/>
        <w:rPr>
          <w:rFonts w:ascii="Times New Roman" w:cs="Times New Roman" w:eastAsia="Times New Roman" w:hAnsi="Times New Roman"/>
          <w:sz w:val="14"/>
          <w:szCs w:val="14"/>
          <w:color w:val="auto"/>
        </w:rPr>
      </w:pPr>
    </w:p>
    <w:p>
      <w:pPr>
        <w:ind w:left="660" w:right="120" w:hanging="328"/>
        <w:spacing w:after="0" w:line="302" w:lineRule="auto"/>
        <w:tabs>
          <w:tab w:leader="none" w:pos="6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2025, reflects the settlement of claims against certain truck manufacturers related to purchases by our European Transportation segment covering periods prior to our acquisition of Norbert Dentressangle SA in 2015. For 2023, see Note 17— Commitments and Contingencies for further information on the California Environmental Matters.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expense by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American LTL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held long-lived tangible assets outside of the U.S., including right of use assets, of $844 million and $715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disaggregated by geographic area based on sales office location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jc w:val="center"/>
              <w:ind w:left="775"/>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North</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LTL</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Transportation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95"/>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right="400"/>
              <w:spacing w:after="0" w:line="152" w:lineRule="exact"/>
              <w:rPr>
                <w:sz w:val="20"/>
                <w:szCs w:val="20"/>
                <w:color w:val="auto"/>
              </w:rPr>
            </w:pPr>
            <w:r>
              <w:rPr>
                <w:rFonts w:ascii="Times New Roman" w:cs="Times New Roman" w:eastAsia="Times New Roman" w:hAnsi="Times New Roman"/>
                <w:sz w:val="15"/>
                <w:szCs w:val="15"/>
                <w:b w:val="1"/>
                <w:bCs w:val="1"/>
                <w:color w:val="auto"/>
              </w:rPr>
              <w:t>North</w:t>
            </w:r>
          </w:p>
        </w:tc>
        <w:tc>
          <w:tcPr>
            <w:tcW w:w="18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64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3"/>
                <w:szCs w:val="13"/>
                <w:color w:val="auto"/>
              </w:rPr>
            </w:pPr>
          </w:p>
        </w:tc>
        <w:tc>
          <w:tcPr>
            <w:tcW w:w="1360" w:type="dxa"/>
            <w:vAlign w:val="bottom"/>
            <w:gridSpan w:val="3"/>
          </w:tcPr>
          <w:p>
            <w:pPr>
              <w:jc w:val="center"/>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48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5"/>
                <w:szCs w:val="15"/>
                <w:b w:val="1"/>
                <w:bCs w:val="1"/>
                <w:color w:val="auto"/>
              </w:rPr>
              <w:t>LTL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Transportation</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6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95"/>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5"/>
                <w:szCs w:val="15"/>
                <w:b w:val="1"/>
                <w:bCs w:val="1"/>
                <w:color w:val="auto"/>
                <w:w w:val="99"/>
              </w:rPr>
              <w:t>North</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LTL</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Transportation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top w:val="single" w:sz="8" w:color="auto"/>
              <w:right w:val="single" w:sz="8" w:color="CCEEFF"/>
            </w:tcBorders>
            <w:shd w:val="clear" w:color="auto" w:fill="CCEEFF"/>
          </w:tcPr>
          <w:p>
            <w:pPr>
              <w:spacing w:after="0"/>
              <w:rPr>
                <w:sz w:val="19"/>
                <w:szCs w:val="19"/>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6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6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720090</wp:posOffset>
            </wp:positionV>
            <wp:extent cx="32575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Charges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engage in restructuring actions as part of our ongoing efforts to best use our resources and infrastructure. These actions primarily relate to business optimization initiatives and generally include severance and facility-related costs, including impairment of lease assets, as well as contract termination costs, and are intended to improve our efficiency and profitability.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restructuring-related activity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60" w:type="dxa"/>
            <w:vAlign w:val="bottom"/>
            <w:gridSpan w:val="6"/>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vMerge w:val="restart"/>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Pr>
          <w:p>
            <w:pPr>
              <w:jc w:val="center"/>
              <w:ind w:left="101"/>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8"/>
        </w:trPr>
        <w:tc>
          <w:tcPr>
            <w:tcW w:w="3540" w:type="dxa"/>
            <w:vAlign w:val="bottom"/>
            <w:gridSpan w:val="2"/>
            <w:vMerge w:val="continue"/>
          </w:tcPr>
          <w:p>
            <w:pPr>
              <w:spacing w:after="0"/>
              <w:rPr>
                <w:sz w:val="17"/>
                <w:szCs w:val="17"/>
                <w:color w:val="auto"/>
              </w:rPr>
            </w:pPr>
          </w:p>
        </w:tc>
        <w:tc>
          <w:tcPr>
            <w:tcW w:w="150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7"/>
                <w:szCs w:val="17"/>
                <w:color w:val="auto"/>
              </w:rPr>
            </w:pPr>
          </w:p>
        </w:tc>
        <w:tc>
          <w:tcPr>
            <w:tcW w:w="15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500" w:type="dxa"/>
            <w:vAlign w:val="bottom"/>
          </w:tcPr>
          <w:p>
            <w:pPr>
              <w:jc w:val="right"/>
              <w:ind w:right="1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5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shd w:val="clear" w:color="auto" w:fill="CCEEFF"/>
          </w:tcPr>
          <w:p>
            <w:pPr>
              <w:jc w:val="right"/>
              <w:ind w:right="1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the severance charges noted in the table above, we recorded restructuring-related charges in our North American LTL segment, European Transportation segment and Corporate of $1 million, $6 million and $16 million, respectively, during 2025, which are primarily non-cash.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majority of the cash outlays related to the severance charges incurred in 2025 will be completed within 12 months.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6"/>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left="141"/>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vMerge w:val="restart"/>
          </w:tcPr>
          <w:p>
            <w:pPr>
              <w:jc w:val="center"/>
              <w:ind w:right="138"/>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2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144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7"/>
                <w:szCs w:val="17"/>
                <w:color w:val="auto"/>
              </w:rPr>
            </w:pPr>
          </w:p>
        </w:tc>
        <w:tc>
          <w:tcPr>
            <w:tcW w:w="15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9"/>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440" w:type="dxa"/>
            <w:vAlign w:val="bottom"/>
          </w:tcPr>
          <w:p>
            <w:pPr>
              <w:jc w:val="right"/>
              <w:ind w:right="126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ind w:right="126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severance charges noted in the table above, we recorded non-cash charges in our North American LTL segment, European Transportation segment and Corporate of $4 million, $1 million and $1 million, respectively,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645795</wp:posOffset>
            </wp:positionV>
            <wp:extent cx="325755"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Vehicles, tractors and trailers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book value of capitalized internally-developed software included in 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80" w:type="dxa"/>
            <w:vAlign w:val="bottom"/>
            <w:gridSpan w:val="2"/>
            <w:vMerge w:val="continue"/>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and amortization of computer software was $467 million, $432 million and $376 million for the years ended December 31, 2025,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leases are real estate leases. In addition, we lease trucks, trailers and material handling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lease expense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600075</wp:posOffset>
            </wp:positionV>
            <wp:extent cx="32575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 years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 years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obligations: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operating lease activity, including the reduction of the operating lease asset and the accretion of the operating lease liability, are reflected in operating activities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320040</wp:posOffset>
            </wp:positionV>
            <wp:extent cx="325755"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60" w:type="dxa"/>
            <w:vAlign w:val="bottom"/>
          </w:tcPr>
          <w:p>
            <w:pPr>
              <w:spacing w:after="0"/>
              <w:rPr>
                <w:sz w:val="16"/>
                <w:szCs w:val="16"/>
                <w:color w:val="auto"/>
              </w:rPr>
            </w:pP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30"/>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8"/>
        </w:trPr>
        <w:tc>
          <w:tcPr>
            <w:tcW w:w="7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we had additional operating leases that have not yet commenced with future undiscounted lease payments of $75 million. These operating leases will commence in 2026 with initial lease terms of 4 years to 15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3"/>
                <w:szCs w:val="13"/>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8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Transportation </w:t>
            </w:r>
            <w:r>
              <w:rPr>
                <w:rFonts w:ascii="Times New Roman" w:cs="Times New Roman" w:eastAsia="Times New Roman" w:hAnsi="Times New Roman"/>
                <w:sz w:val="9"/>
                <w:szCs w:val="9"/>
                <w:b w:val="1"/>
                <w:bCs w:val="1"/>
                <w:color w:val="auto"/>
              </w:rPr>
              <w:t>(1)</w:t>
            </w: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1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2024</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1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European Transportation goodwill balances presented above are net of $64 million accumulated impairment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Note 2—Significant Accounting Policies, we recorded no impairment losses in 2025, 2024 and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2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36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Pr>
          <w:p>
            <w:pPr>
              <w:spacing w:after="0"/>
              <w:rPr>
                <w:sz w:val="19"/>
                <w:szCs w:val="19"/>
                <w:color w:val="auto"/>
              </w:rPr>
            </w:pP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Favorable leases</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recognize any impairment of our identified intangible assets in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amortizable intangible assets for the next five years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Actual amounts of amortization expense may differ from estimated amounts due to changes in foreign currency exchange rates, additional intangible asset acquisitions, future impairment of intangible assets, accelerated amortization of intangible assets and other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$58 million, $57 million and $54 million for the years ended December 31, 2025, 2024 and 2023,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derivative instruments and the related notional amounts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1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6"/>
                <w:szCs w:val="16"/>
                <w:color w:val="auto"/>
              </w:rPr>
            </w:pPr>
          </w:p>
        </w:tc>
        <w:tc>
          <w:tcPr>
            <w:tcW w:w="21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Other current assets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7"/>
                <w:szCs w:val="17"/>
                <w:color w:val="auto"/>
              </w:rPr>
            </w:pPr>
          </w:p>
        </w:tc>
        <w:tc>
          <w:tcPr>
            <w:tcW w:w="21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1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16"/>
                <w:szCs w:val="16"/>
                <w:color w:val="auto"/>
              </w:rPr>
            </w:pPr>
          </w:p>
        </w:tc>
        <w:tc>
          <w:tcPr>
            <w:tcW w:w="21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derivatives are classified as Level 2 within the fair value hierarchy. The derivatives are valued using inputs other than quoted prices such as foreign exchange rates and yield curves.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and nonderivative instruments designated as hedges on our Consolidated Statements of Income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20" w:type="dxa"/>
            <w:vAlign w:val="bottom"/>
          </w:tcPr>
          <w:p>
            <w:pPr>
              <w:spacing w:after="0"/>
              <w:rPr>
                <w:sz w:val="13"/>
                <w:szCs w:val="13"/>
                <w:color w:val="auto"/>
              </w:rPr>
            </w:pPr>
          </w:p>
        </w:tc>
        <w:tc>
          <w:tcPr>
            <w:tcW w:w="2360" w:type="dxa"/>
            <w:vAlign w:val="bottom"/>
            <w:gridSpan w:val="8"/>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Reclassified from</w:t>
            </w:r>
          </w:p>
        </w:tc>
        <w:tc>
          <w:tcPr>
            <w:tcW w:w="160" w:type="dxa"/>
            <w:vAlign w:val="bottom"/>
          </w:tcPr>
          <w:p>
            <w:pPr>
              <w:spacing w:after="0"/>
              <w:rPr>
                <w:sz w:val="13"/>
                <w:szCs w:val="13"/>
                <w:color w:val="auto"/>
              </w:rPr>
            </w:pPr>
          </w:p>
        </w:tc>
        <w:tc>
          <w:tcPr>
            <w:tcW w:w="2200" w:type="dxa"/>
            <w:vAlign w:val="bottom"/>
            <w:gridSpan w:val="7"/>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8"/>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Loss on</w:t>
            </w:r>
          </w:p>
        </w:tc>
        <w:tc>
          <w:tcPr>
            <w:tcW w:w="120" w:type="dxa"/>
            <w:vAlign w:val="bottom"/>
          </w:tcPr>
          <w:p>
            <w:pPr>
              <w:spacing w:after="0"/>
              <w:rPr>
                <w:sz w:val="12"/>
                <w:szCs w:val="12"/>
                <w:color w:val="auto"/>
              </w:rPr>
            </w:pPr>
          </w:p>
        </w:tc>
        <w:tc>
          <w:tcPr>
            <w:tcW w:w="236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7"/>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Income on Derivative (Amount</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AOCI into Net Income</w:t>
            </w:r>
          </w:p>
        </w:tc>
        <w:tc>
          <w:tcPr>
            <w:tcW w:w="23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Excluded from Effectiveness Testing)</w:t>
            </w: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7"/>
                <w:szCs w:val="17"/>
                <w:color w:val="auto"/>
              </w:rPr>
            </w:pPr>
          </w:p>
        </w:tc>
        <w:tc>
          <w:tcPr>
            <w:tcW w:w="5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9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Derivatives designated as net investment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hedges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Cross-currency swap agreements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Swap Agreements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term of the swap contracts, we receive interest on a quarterly basis from the counterparties based on USD fixed interest rates, and we pay interest, also on a quarterly basis, to the counterparties based on EUR fixed interest rates. At maturity, we will repay the original principal amount in EUR and receive the principal amount in USD. These agreements expire at various dates through 2027.</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AOCI. The change in the fair value due to foreign exchange remains in AOCI and the initial component excluded from effectiveness testing will initially remain in AOCI and then will be reclassified from AOCI to Interest expense each period in a systematic manner. Cash flows related to the periodic exchange of interest payments for these net investment hedges are included in Cash flows from operating activities of continuing operations on our Consolidated Statements of Cash Flows.</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2023, we received approximately $2 million related to cross-currency swaps that were settled during the period. The fair value adjustments related to these swaps remain in AOCI and partially offset foreign currency translation adjustment losses on our net investments in foreign subsidiaries. The proceeds were included in Cash flows from investing activities of continuing operations on our Consolidated Statements of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execute short-term interest rate swaps to mitigate variability in forecasted interest payments on our Refinancing Term Loan Facilities (defined below). The interest rate swaps convert floating-rate interest payments into fixed rate interest payments. We designated the interest rate swaps as qualifying hedging instruments and account for these derivatives as cash flow hedges. Our outstanding interest rate swaps mature in the fourth quarter of 2026.</w:t>
      </w:r>
    </w:p>
    <w:p>
      <w:pPr>
        <w:spacing w:after="0" w:line="12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Cash flows from operating activities of continuing operations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09"/>
        </w:trPr>
        <w:tc>
          <w:tcPr>
            <w:tcW w:w="6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6.25% senior secured notes due 2028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7.125% senior notes due 2031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7.125% senior notes due 2032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6.70% senior debentures due 2034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leases, asset financing and other</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debt and classification in the fair value hierarchy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bl>
    <w:p>
      <w:pPr>
        <w:spacing w:after="0" w:line="22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valued Level 1 debt using quoted prices in active markets and Level 2 debt using bid evaluation pricing models.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payment obligations on debt (excluding finance leases and asset financing) for the next five years and thereafter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February 2025, we terminated our Second Amended and Restated Revolving Credit Agreement, as amended (the “ABL Facility”), and entered into a Revolving Credit Agreement (the “Revolving Credit Agreement”). The Revolving Credit Agreement provides for revolving credit commitments in an aggregate amount of $600 million (the “Revolving Credit Facility”), of which $200 million is available for issuances of letters of credit. The maturity date of the Revolving Credit Facility is April 30, 2030.</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we have approximately $600 million available to draw under our Revolving Credit Facility, after considering outstanding letters of credit of less than $1 million.</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borrowings under the Revolving Credit Facility bear interest at a rate equal to: (a) for loans denominated in U.S. Dollars, Term Secured Overnight Financing Rate (“SOFR”) or the Base Rate and (b) for loans denominated in Canadian Dollars, Term Canadian Overnight Repo Rate (“CORRA”) or the Canadian base rate plus (i) in the case of base rate loans, an applicable rate ranging from 0.25% to 1.00% or, (ii) in the case of Term SOFR or Term CORRA loans, an applicable rate ranging from 1.25% to 2.00%, which is determined based on our Consolidated Total Net Leverage Ratio (as defined in the Revolving Credit Agreement). In addition, we are required to pay an unused commitment fee of between 0.20% and 0.30% on the undrawn commitments under the Revolving Credit Facility, determined based on our Consolidated Total Net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Revolving Credit Facility is secured by a lien on substantially all of our assets and the assets of our guarantors, with certain exceptions, and contains representations and warranties, affirmative and negative covenants, and events of default customary for agreements of this nature. Security interests and certain covenants under the Revolving Credit Agreement will release, terminate or be amended upon, among other things, the Company’s achievement of investment grade ratings from at least two rating agencies. As of December 31, 2025, we were in compliance with the Revolving Credit Facility’s financial covenants.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Facility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2020, we entered into a $200 million uncommitted secured evergreen letter of credit facility. The letter of credit facility had an initial one-year term, which automatically renews with one-year terms until the letter of credit facility terminates. As of December 31, 2025, we have $133 million in aggregate face amount of letters of credit outstanding under the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2025, we amended our Senior Secured Term Loan Credit Agreement (“Amended Term Loan Credit Agreement”). Pursuant to the amendment, the lenders provided the company (a) a term loan B facility in an aggregate principal amount of $700 million, maturing on May 24, 2028 (the “Refinancing Term Loan B-2 Facility”), and (b) a term loan B facility in an aggregate principal amount of $400 million, maturing on February 1, 2031 (the “Refinancing Term Loan B-3 Facility” and together with the Refinancing Term Loan B-2 Facility, the “Refinancing Term Loan Facilities”). The proceeds of the Refinancing Term Loan Facilities were used to refinance our existing term loans. We recorded a debt extinguishment loss of $5 million in the first quarter of 2025 due to this refinancing.</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second half of 2025, we used cash on hand to repay $115 million of outstanding principal under the Refinancing Term Loan B-2 Facility, which was scheduled to mature in 2028.</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Refinancing Term Loan Facilities bear interest at a rate per annum equal to, at the Company’s option, either alternate base rate (“ABR”) or Term SOFR plus (i) in the case of ABR Loans, 0.75% or, (ii) in the case of Term SOFR Loans, 1.75%, which shall be reduced by 0.25% upon the achievement of a Consolidated First Lien Net Leverage Ratio (as defined in the Amended Term Loan Credit Agreement) of less than or equal to 1.21 to 1.00. The Refinancing Term Loan Facilities are secured by a lien on substantially all of our assets and the assets of our guarantors, with certain exceptions.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Amended Term Loan Credit Agreement contains customary mandatory prepayment requirements, representations and warranties, events of default, reporting and other affirmative covenants and negative covenants, including limitations on indebtedness, liens, investments, dividends, repayments of junior financings and asset sales, in each case subject to a number of important exceptions and qualifications.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of our term loans was approximately 5.4% as of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private placement of $585 million aggregate principal amount of senior notes due 2032 (the “Senior Notes due 2032”), which mature on February 1, 2032 and bear interest at a rate of 7.125% per annum. Interest is payable semi-annually in cash in arrears. These notes were issued at par.</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May 2023, we completed private placements of $830 million aggregate principal amount of senior secured notes due 2028 (the “Senior Secured Notes due 2028”) and $450 million aggregate principal amount of senior notes due 2031 (the “Senior Notes due 2031”). The Senior Secured Notes due 2028 mature on June 1, 2028 and bear interest at a rate of 6.25% per annum. The Senior Notes due 2031 mature on June 1, 2031 and bear interest at a rate of 7.125% per annum. Interest is payable semi-annually in cash in arrears. These notes were issued at par.</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senior notes are guaranteed by each of our direct and indirect wholly-owned restricted subsidiaries (other than certain excluded subsidiaries) that are obligors under, or guarantee obligations under, our existing secured Revolving Credit Facility or the Amended Term Loan Credit Agreement (or certain replacements thereof) or guarantee certain of our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Senior Secured Notes due 2028 and the guarantees thereof are secured by substantially all of our assets and our guarantors equally and ratably with the indebtedness under the Amended Term Loan Credit Agreement (subject to permitted liens and certain other exceptions). All other senior notes and the guarantees thereof are unsecured, unsubordinated indebtedness for us and our guarantors.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senior notes contain covenants and events of default customary for notes of this nature. If the Senior Secured Notes due 2028 and the Company are each assigned investment grade ratings from at least two of the major rating agencies and no default has occurred, then certain covenant requirements will permanently cease to be in effect, and the collateral, security interests, and guarantees securing the Senior Secured Notes due 2028 will automatically be released.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Debentures</w:t>
      </w:r>
    </w:p>
    <w:p>
      <w:pPr>
        <w:spacing w:after="0" w:line="175"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In conjunction with a 2015 acquisition, we assumed 6.70% Senior Debentures due 2034 (the “Senior Debentures”) with an aggregate principal amount of $300 million. The Senior Debentures bear interest payable semiannually, in cash in arrears, and mature on May 1, 2034. Including amortization of the fair value adjustment recorded on the acquisition date, interest expense on the Senior Debentures is recognized at an annual effective interest rate of 10.96%.</w:t>
      </w:r>
    </w:p>
    <w:p>
      <w:pPr>
        <w:spacing w:after="0" w:line="208" w:lineRule="exact"/>
        <w:rPr>
          <w:sz w:val="20"/>
          <w:szCs w:val="20"/>
          <w:color w:val="auto"/>
        </w:rPr>
      </w:pPr>
    </w:p>
    <w:p>
      <w:pPr>
        <w:ind w:right="8920" w:firstLine="8"/>
        <w:spacing w:after="0" w:line="440" w:lineRule="auto"/>
        <w:tabs>
          <w:tab w:leader="none" w:pos="27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Defined Benefit Pension Plans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some employees in the U.S.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We also maintain a defined benefit pension plan for one of our foreign subsidiaries that is excluded from the disclosures below due to immateriality.</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measure defined benefit pension plan obligations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We determine the net periodic benefit costs using assumptions regarding the projected benefit obligation and the fair value of plan assets as of the beginning of the year. Net periodic benefit costs are recorded in Other income on our Consolidated Statements of Income. We calculate the funded status of the defined benefit pension plans, which represents the difference between the projected benefit obligation and the fair value of plan assets, on a plan-by-plan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 of Defined Benefit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plans’ projected benefit obligations as of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amendment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Actuarial (gain) loss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actuarial loss in 2025 was a result of assumption changes, including a decrease in the discount rate and other assumptions for plan participants. The actuarial gain in 2024 was a result of assumption changes, including an increase in the discount rate and other assumptions for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fair value of plan assets as of December 31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Employer contributions to non-qualified plans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3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plans as of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 recognized in balance sheet: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pension asset recognized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with projected and accumulated benefit obligation in excess of plan assets: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7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Projected and accumulated benefit obligation </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10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Relates to our non-qualified plans which are unfunded.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our qualified plans and non-qualified plans was $142 million and $(49) million, respectively, as of December 31, 2025.</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actuarial loss included in AOCI that has not yet been recognized in net periodic benefit expense was $167 million and $195 million as of December 31, 2025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cost and amounts recognized in Other comprehensive income (loss) for the years ended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cost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9"/>
              </w:rPr>
              <w:t>74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periodic benefit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Amounts recognized in Other comprehensive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loss (gain)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Prior-service cost</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84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Loss (gain) recognized in Other 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394335</wp:posOffset>
            </wp:positionV>
            <wp:extent cx="325755"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4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benefit costs and benefit obligations for the year ended December 31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Qualified Plans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Non-Qualified Plans</w:t>
            </w:r>
          </w:p>
        </w:tc>
        <w:tc>
          <w:tcPr>
            <w:tcW w:w="138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3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 net periodic benefit costs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 - 5.25%</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 - 5.05%</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 - 5.33%</w:t>
            </w:r>
          </w:p>
        </w:tc>
      </w:tr>
      <w:tr>
        <w:trPr>
          <w:trHeight w:val="21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 benefit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 - 5.20%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 - 5.55%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- 5.12%</w:t>
            </w:r>
          </w:p>
        </w:tc>
      </w:tr>
      <w:tr>
        <w:trPr>
          <w:trHeight w:val="21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rate of compensation increase was assumed as the plans are frozen to additional participant benefit accruals.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Expected benefit payments for the defined benefit pension plans for the years ended December 31 are summarized below. These estimates are based on assumptions about future events. Actual benefit payments may vary from these estimates.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2031-2035</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payments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manage the assets in the U.S. plans using a long-term liability-driven investment strategy that seeks to mitigate the funded status volatility by increasing participation in fixed income investments as the plan’s funded status increases. We developed this strategy by analyzing a variety of diversified asset-class combinations with the projected liabilities.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current investment strategy is to achieve an investment mix of approximately 95% in fixed income securities and 5% of investments in equity securities. The fixed income allocation consists primarily of domestic fixed income securities and targets to hedge approximately 100% of projected liabilities. The target allocations for equity securities includes approximately 60% in U.S. equities and approximately 40% in non-U.S. equities. Investments in equity and fixed income securities consist of individual securities held in managed separate accounts and commingled investment funds. Generally, our investment strategy does not include an allocation to cash and cash equivalents, but a cash allocation may arise periodically in response to timing considerations regarding contributions, investments, and the payment of benefits and eligible plan expenses. We periodically evaluate our defined benefit plans’ asset portfolios for significant concentrations of risk. Types of investment concentration risks that are evaluated include concentrations in a single issuer, specific security, asset class, credit rating, duration, industry/sector, currency, foreign country or individual fund manager. As of December 31, 2025, our defined benefit plan assets had no significant concentrations of risk.</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investment policy does not allow investment managers to use market-timing strategies or financial derivative instruments for speculative purposes, but financial derivative instruments are used to manage risk and achieve stated investment objectives for duration, yield curve, credit, foreign exchange and equity exposures. Generally, our investment managers are prohibited from short selling, trading on margin, and trading commodities, warrants or other options, except when acquired as a result of the purchase of another security, or in the case of options, when sold as part of a covered position.</w:t>
      </w:r>
    </w:p>
    <w:p>
      <w:pPr>
        <w:spacing w:after="0" w:line="126"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The assumption of 5.75% for the overall expected long-term rate of return on plan assets in 2025 was developed using asset allocation and return expectations. The return expectations are created using long-term historical and expected returns for the various asset classes and current market expectations for inflation, interest rates and economic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328930</wp:posOffset>
            </wp:positionV>
            <wp:extent cx="325755"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values of investments held in the qualified pension plans by major asset category as of December 31, 2025 and 2024, and the percentage that each asset category comprises of total plan assets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Plan</w:t>
            </w:r>
          </w:p>
        </w:tc>
        <w:tc>
          <w:tcPr>
            <w:tcW w:w="0" w:type="dxa"/>
            <w:vAlign w:val="bottom"/>
          </w:tcPr>
          <w:p>
            <w:pPr>
              <w:spacing w:after="0"/>
              <w:rPr>
                <w:sz w:val="1"/>
                <w:szCs w:val="1"/>
                <w:color w:val="auto"/>
              </w:rPr>
            </w:pPr>
          </w:p>
        </w:tc>
      </w:tr>
      <w:tr>
        <w:trPr>
          <w:trHeight w:val="203"/>
        </w:trPr>
        <w:tc>
          <w:tcPr>
            <w:tcW w:w="4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Leveling </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large companies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small companies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right="20" w:hanging="328"/>
        <w:spacing w:after="0" w:line="282" w:lineRule="auto"/>
        <w:tabs>
          <w:tab w:leader="none" w:pos="64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periods ended December 31, 2025 and 2024, we had no investments held in the pension plans within Level 3 of the fair value hierarchy. Our common stock was not a plan asset as of December 31, 2025 or 2024. The non-qualified plans are unfunded.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Our funding practice is to evaluate our tax and cash position, and the funded status of our plans, in determining our planned contributions. We estimate that we will contribute $5 million to our non-qualified plans in 2026 but this could change based on variations in interest rates, asset returns and other factors.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costs for defined contribution retirement plans were $59 million, $58 million and $55 million for the years ended December 31,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Medical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health benefits through a postretirement medical plan for eligible employees hired before 1993 (the “Postretirement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360045</wp:posOffset>
            </wp:positionV>
            <wp:extent cx="32575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 of Postretirement Medical Plan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reconciliation of the changes in the plan’s benefit obligation and the determination of the amounts recognized on our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Projected and accumulated benefit obligation at 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of the plan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balance sheet consist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Discount rate assumption as of December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amount included in AOCI that has not yet been recognized in net periodic benefit income (expense) was $5 million and the net periodic benefit expense was less than $1 million for the Postretirement Plan for the year ended December 31, 2025. The amount included in AOCI that has not yet been recognized in net periodic benefit income (expense) was $7 million and the net periodic benefit expense was less than $1 million for the Postretirement Plan for the year ended December 31, 2024. The discount rates assumptions used to calculate the interest cost were 5.23% - 5.64%, 5.04% - 5.10% and 5.32% - 5.41% for the years ended December 31, 2025, 2024 and 2023, respectively.</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Expected benefit payments, which reflect expected future service, as appropriate, for the years ended December 31 are summarized below. These estimates are based on assumptions about future events. Actual benefit payments may vary from these estimates.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2031-2035</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payments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2025, our Board of Directors authorized repurchases of up to $750 million of our common stock. The repurchase authorization permits us to purchase shares in both the open market and in private transactions, with the timing and number of shares dependent on a variety of factors, including price, general business and market conditions, alternative investment opportunities and funding considerations. We retire common shares that we repurchase upon settlement. The new share repurchase program has no expiration date and may be utilized over time, with no obligation to repurchase any specific number of shares. We may suspend or discontinue this program at any time. This plan replaced our previous share repurchase plan, authorized in February 2019.</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2025, we repurchased 954 thousand shares of common stock with an aggregate value of $125 million at an average price of $130.96 per share. The share repurchases were funded by cash on hand. There were no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320040</wp:posOffset>
            </wp:positionV>
            <wp:extent cx="32575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in 2024 and 2023. As of December 31, 2025, our remaining share repurchase authorization was $625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grant various types of stock-based compensation awards to directors, officers and key employees under our 2016 incentive plan. These awards have included stock options, restricted stock, restricted stock units, performance-based units, cash incentive awards and other equity-related awards (collectively, “Awards”).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2016 incentive plan authorizes the issuance of up to 11.4 million shares of our common stock as Awards. The 2016 incentive plan will terminate on May 18, 2032, unless terminated earlier by our Board of Directors. As of December 31, 2025, approximately 2.6 million shares of our common stock were available for the grant of Awards under the 2016 incentive plan.</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stock-based compensation expense is recorded in Salaries, wages and employee benefits, Transaction and integration costs or Restructuring costs on our Consolidated Statements of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99"/>
              </w:rPr>
              <w:t>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99"/>
              </w:rPr>
              <w:t>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on stock-based compensation</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Performance-Based Restricted Stock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grant RSUs and PSUs to our key employees, officers and directors with various vesting requirements. RSUs generally vest based on the passage of time (service conditions) and PSUs generally vest based on the achievement of our financial targets (performance conditions). PSUs may also be subject to stock price (market conditions), employment and other non-financial conditions. The holders of the RSUs and PSUs do not have the rights of a stockholder and do not have voting rights until the shares are issued and delivered in settlement of the awards.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Upon vesting, we generally withhold a portion of the shares of our common stock to satisfy the employee’s minimum tax withholdings. Cash paid for tax withholdings is reflected in financing activities on our Consolidated Statements of Cash Flows.</w:t>
      </w:r>
    </w:p>
    <w:p>
      <w:pPr>
        <w:spacing w:after="0" w:line="10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estimate the fair value of PSUs subject to market-based vesting conditions using a Monte Carlo simulation lattice model, utilizing several key assumptions, including expected Company and peer company share price volatility, correlation coefficients between peers and the Company, the risk-free rate of return and other award design features. For 2025 PSU grants, we assumed share price volatility of 47.58% and a risk-free rate of return of 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317500</wp:posOffset>
            </wp:positionV>
            <wp:extent cx="32575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PSU award activity for the year ended December 31, 2025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20" w:type="dxa"/>
            <w:vAlign w:val="bottom"/>
          </w:tcPr>
          <w:p>
            <w:pPr>
              <w:spacing w:after="0"/>
              <w:rPr>
                <w:sz w:val="16"/>
                <w:szCs w:val="16"/>
                <w:color w:val="auto"/>
              </w:rPr>
            </w:pPr>
          </w:p>
        </w:tc>
        <w:tc>
          <w:tcPr>
            <w:tcW w:w="1580" w:type="dxa"/>
            <w:vAlign w:val="bottom"/>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1"/>
                <w:szCs w:val="11"/>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538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Outstanding as of December 31,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1,404,436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adjustment for performance condition achieved </w:t>
            </w:r>
            <w:r>
              <w:rPr>
                <w:rFonts w:ascii="Times New Roman" w:cs="Times New Roman" w:eastAsia="Times New Roman" w:hAnsi="Times New Roman"/>
                <w:sz w:val="23"/>
                <w:szCs w:val="23"/>
                <w:color w:val="auto"/>
                <w:vertAlign w:val="superscript"/>
              </w:rPr>
              <w:t>(2)</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30"/>
        </w:trPr>
        <w:tc>
          <w:tcPr>
            <w:tcW w:w="55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and canceled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Outstanding as of December 31, 2025 </w:t>
            </w:r>
            <w:r>
              <w:rPr>
                <w:rFonts w:ascii="Times New Roman" w:cs="Times New Roman" w:eastAsia="Times New Roman" w:hAnsi="Times New Roman"/>
                <w:sz w:val="23"/>
                <w:szCs w:val="23"/>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530,947</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1,153,447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PSUs, the outstanding balance reflects the number of shares to be issued based on the performance target.</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in the number of PSUs granted based on the final performance achieved upon vesting, generally ranging from 0% to 200% of target.</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RSUs and PSUs vested includes the portion withheld to satisfy employee tax withholdings.</w:t>
      </w:r>
    </w:p>
    <w:p>
      <w:pPr>
        <w:spacing w:after="0" w:line="1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years 2025, 2024 and 2023 was $114.31, $117.94 and $38.65, respectively. The weighted-average grant date fair value of PSUs granted during the years 2025, 2024 and 2023 was $120.38, $117.81 and $44.07, respectively.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during 2025, 2024 and 2023 was $56 million, $244 million and $23 million, respectively. All of the outstanding RSUs as of December 31, 2025 vest subject to service conditions.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total fair value of PSUs that vested during 2025, 2024 and 2023 was $105 million, $3 million and $27 million, respectively. Of the outstanding PSUs as of December 31, 2025, 107,468 vest subject to service and performance conditions, 907,615 vest subject to service and a combination of market or performance conditions and 138,364 vest subject to service and market conditions.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cost related to non-vested RSUs and PSUs of $70 million is anticipated to be recognized over a weighted-average period of approximately 1.82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Compensation and Human Capital Committee of the Board of Directors approved the suspension of our previous employee stock purchase plan, effective after the completion of the March 2023 offering period. There was no stock-based compensation expense recognized under this plan as it was non-compensatory.</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2024, the Compensation and Human Capital Committee of the Board of Directors approved the reinstatement of our employee stock purchase plan, with the first offering period commencing on December 1, 2024. Our current employee stock purchase plan offers eligible employees, excluding our executive officers and directors, the right to purchase our common stock using up to 10% of each employee’s compensation. Shares are purchased at 10% below fair market value on the last trading day of each six-month offering period. The plan authorized the purchase of up to five million shares of our common stock, which is incremental to the shares authorized under the 2016 incentive plan as discussed above. The plan will terminate in October 2027, unless terminated earlier by our Board of Directors. We recognize stock-based compensation expense related to the plan over the offering period as the plan is compensatory. Compensation expense related to the plan was immaterial in 2025 and 2024. At December 31, 2025 and 2024, approximately four million shares of our common stock were available for purchase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655955</wp:posOffset>
            </wp:positionV>
            <wp:extent cx="325755"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 related to our U.S. and foreign operations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80" w:type="dxa"/>
            <w:vAlign w:val="bottom"/>
            <w:tcBorders>
              <w:bottom w:val="single" w:sz="8" w:color="CCEEFF"/>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456</w:t>
            </w: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 provision</w:t>
            </w:r>
          </w:p>
        </w:tc>
        <w:tc>
          <w:tcPr>
            <w:tcW w:w="1380" w:type="dxa"/>
            <w:vAlign w:val="bottom"/>
            <w:tcBorders>
              <w:bottom w:val="single" w:sz="8" w:color="CCEEFF"/>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437</w:t>
            </w:r>
          </w:p>
        </w:tc>
        <w:tc>
          <w:tcPr>
            <w:tcW w:w="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36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38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provision (benefit)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380" w:type="dxa"/>
            <w:vAlign w:val="bottom"/>
            <w:gridSpan w:val="7"/>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4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38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82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reconciliations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income tax rate</w:t>
            </w:r>
          </w:p>
        </w:tc>
        <w:tc>
          <w:tcPr>
            <w:tcW w:w="3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92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99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Domestic state and local taxes, net of federal effect </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Spain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0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0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Benefit from legal entity reorganization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121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California, Wisconsin, Massachusetts, Illinois, Michigan, and Georgia made up the majority (greater than 50%) of the tax effect in this category.</w:t>
      </w:r>
    </w:p>
    <w:p>
      <w:pPr>
        <w:spacing w:after="0" w:line="109" w:lineRule="exact"/>
        <w:rPr>
          <w:rFonts w:ascii="Times New Roman" w:cs="Times New Roman" w:eastAsia="Times New Roman" w:hAnsi="Times New Roman"/>
          <w:sz w:val="14"/>
          <w:szCs w:val="14"/>
          <w:color w:val="auto"/>
        </w:rPr>
      </w:pPr>
    </w:p>
    <w:p>
      <w:pPr>
        <w:ind w:left="660" w:hanging="328"/>
        <w:spacing w:after="0" w:line="266" w:lineRule="auto"/>
        <w:tabs>
          <w:tab w:leader="none" w:pos="64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2024, the Company executed a legal entity reorganization in our European Transportation business that resulted in a one-time tax benefit of $41 million in 2024. The impact of this benefit is reflected in the table within Domestic state and local taxes ($3 million benefit), Foreign tax effects ($5 million expense), Effect of cross-border laws ($9 million expense), Tax credits ($2 million benefit), and Other adjustments ($50 million benefit). As previously disclosed, we expect the legal entity reorganization in our European Transportation business to generate a net cash refund of approximately $45 million. In 2024, we made tax payments of $7 million and in 2025 we received a cash refund of</w:t>
      </w:r>
    </w:p>
    <w:p>
      <w:pPr>
        <w:spacing w:after="0" w:line="1"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 million. We expect to receive the remaining $3 million cash refund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349885</wp:posOffset>
            </wp:positionV>
            <wp:extent cx="325755"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the Net Deferred Tax Asset or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 and deferred tax liability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operating loss and other tax attribute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asset,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Pension and other retirement obligations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 and deferred tax liability above are reflected on our Consolidated Balance Sheets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and Tax Credit Carryforwards</w:t>
            </w: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0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operating loss and tax credit carryforwards were as follows: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gridSpan w:val="2"/>
            <w:vMerge w:val="continue"/>
          </w:tcPr>
          <w:p>
            <w:pPr>
              <w:spacing w:after="0"/>
              <w:rPr>
                <w:sz w:val="16"/>
                <w:szCs w:val="16"/>
                <w:color w:val="auto"/>
              </w:rPr>
            </w:pPr>
          </w:p>
        </w:tc>
        <w:tc>
          <w:tcPr>
            <w:tcW w:w="22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80" w:type="dxa"/>
            <w:vAlign w:val="bottom"/>
            <w:tcBorders>
              <w:top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effect (before federal benefit) of state net operating</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Various times starting in</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losses</w:t>
            </w:r>
          </w:p>
        </w:tc>
        <w:tc>
          <w:tcPr>
            <w:tcW w:w="21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times starting in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Various times starting in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credit carryforward</w:t>
            </w:r>
          </w:p>
        </w:tc>
        <w:tc>
          <w:tcPr>
            <w:tcW w:w="21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Foreign net operating losses available to offset future</w:t>
            </w:r>
          </w:p>
        </w:tc>
        <w:tc>
          <w:tcPr>
            <w:tcW w:w="22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Various times starting in</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taxable income</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Some credits and losses have unlimited carryforward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established a valuation allowance for some of our deferred tax assets as it is more likely than not that these assets will not be realized in the foreseeable future. We concluded that the remaining deferred tax assets will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likely than not be realized, though this is not assured, and as such no valuation allowance has been provided on these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and activity related to our valuation allowance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Interest and penalties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65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unrecognized tax benefits that, if recognized, would impact</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effective income tax rate as of the end of the year</w:t>
            </w: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and foreign jurisdictions. As of December 31, 2025, we have three tax years under examination by the IRS. We have various U.S. state and local examinations and non-U.S. examinations in process. The U.S. federal tax returns after 2021, state and local returns after 2018, and non-U.S. returns after 2016 are open under relevant statutes of limitations and are subject to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Paid (Received)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(received) for income taxes is comprised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(received) for income taxes, net of refunds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*Jurisdiction below the threshold for separate disclosure for the period presented. Cash paid (received) included 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358140</wp:posOffset>
            </wp:positionV>
            <wp:extent cx="32575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Bill Act was signed into law. The legislation includes modifications to the international tax framework and the restoration of favorable tax treatment for certain business provisions including 100% bonus depreciation for qualified property placed in service after January 19, 2025, immediate expensing of domestic research and experimental costs, and business interest expense limitations. We recognized the effects of the legislation in 2025 for the provisions currently enacted, which increased our deferred tax liability and reduced our federal income tax liability and related tax payments for 2025. We anticipate similar impacts in future years with no significant impact on our annual effective tax rate.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(Loss) Per Share</w:t>
      </w:r>
    </w:p>
    <w:p>
      <w:pPr>
        <w:spacing w:after="0" w:line="175" w:lineRule="exact"/>
        <w:rPr>
          <w:sz w:val="20"/>
          <w:szCs w:val="20"/>
          <w:color w:val="auto"/>
        </w:rPr>
      </w:pPr>
    </w:p>
    <w:p>
      <w:pPr>
        <w:jc w:val="both"/>
        <w:ind w:right="460"/>
        <w:spacing w:after="0" w:line="289"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by the weighted-average number of common shares outstanding for the period. Diluted EPS is computed on the basis of the weighted-average number of shares of common stock plus the effect of dilutive potential common shares outstanding during the period using the treasury stock method. Dilutive potential common shares include unvested stock-based compensation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from continuing operations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loss from discontinued operations per share</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from continuing operations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loss from discontinued operations per share</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702945</wp:posOffset>
            </wp:positionV>
            <wp:extent cx="32575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are involved, and expect to continue to be involved, in numerous proceedings arising out of the conduct of our business. These proceedings may include claims for property damage or personal injury incurred in connection with the transportation of freight, cargo damage or loss, environmental liability, commercial disputes, insurance coverage disputes and employment-related claims, including claims involving asserted breaches of employee restrictive covenants.</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establish accruals for specific legal proceedings when it is considered probable that a loss has been incurred and the amount of the loss can be reasonably estimated. We review and adjust, as appropriate, accruals for loss contingencies at least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be considered reasonably possible or probable is based on our assessment, together with legal counsel, regarding the ultimate outcome of the matter.</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carry liability and excess umbrella insurance policies that we deem sufficient to cover potential legal claims arising in the normal course of conducting our operations as a transportation company. In the event we are required to satisfy a legal claim outside the scope of the coverage provided by insurance, our financial condition, results of operations or cash flows could be negatively impacted.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Contribution Litigation</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been engaged in litigation in a case captioned Allianz Global Risks US Ins. Co. v. ACE Property &amp; Casualty Ins. Co., et al., Multnomah County Circuit Court (Case No. 1204-04552) since we acquired Con-way in 2015. In April 2012, prior to the acquisition, Allianz Global Risks US Ins. Co. (“Allianz”) filed suit against eighteen insurance companies seeking contribution on environmental and product liability claims that Allianz agreed to defend and indemnify on behalf of its insured, Daimler Trucks North America (“DTNA”). These claims involved truck and part manufacturing plants of Freightliner, a former subsidiary of Con-way, which Con-way sold to DTNA in 1981. The defendants had insured Freightliner’s assets and Con-way and Freightliner had self-insured under fronting agreements with three of the defendant insurers, ACE, Westport, and General. Under those agreements, Con-way agreed to indemnify the fronting carriers for damages assessed under the fronting policies. Con-way’s captive insurer, Centron, was also a named defendant. In connection with the acquisition of Con-way, we became responsible for any potential liability of Con-way related to this matter.</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After a seven-week jury trial in 2014, the jury found that Con-way and the fronting insurers never intended that the fronting insurers defend or indemnify any claims against Freightliner. In June 2015, Allianz appealed to the Oregon Court of Appeals. In May 2019, the Oregon Court of Appeals upheld the jury verdict. In September 2019, Allianz appealed to the Oregon Supreme Court. In March 2021, the Oregon Supreme Court reversed the jury verdict, holding that it was an error to allow the jury to decide how the parties intended the fronting policies to operate, and also holding that the trial court improperly instructed the jury concerning application of certain policy pollution exclusions. In July 2021, the matter was remanded to the trial court for further proceedings consistent with the Oregon Supreme Court’s decision. In June 2023, the trial court decided the parties’ cross-motions for summary judgment and determined that the fronting policies do provide coverage for the environmental and product liability claims. The pollution exclusion and allocation issues remained open. The trial on the pollution exclusion issue took place in October 2024, where the jury issued a favorable verdict, finding that the pollution exclusion applied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328295</wp:posOffset>
            </wp:positionV>
            <wp:extent cx="325755"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policy over several years for which Allianz seeks contribution. The trial addressing legal and factual issues relating to the allocation of defense and indemnity costs among the applicable insurance policies took place during the first half of 2025 and final hearings on allocation took place in early October 2025. While the court has not entered a final judgment, we revised our estimate for our share of the liability associated with this matter and recognized a charge of approximately $35 million in the third quarter of 2025. The additional charge we recognized includes an allocation of defense and indemnity costs already incurred by Allianz as well as an estimate of future allocated defense and indemnity costs.</w:t>
      </w:r>
    </w:p>
    <w:p>
      <w:pPr>
        <w:spacing w:after="0" w:line="129" w:lineRule="exact"/>
        <w:rPr>
          <w:sz w:val="20"/>
          <w:szCs w:val="20"/>
          <w:color w:val="auto"/>
        </w:rPr>
      </w:pPr>
    </w:p>
    <w:p>
      <w:pPr>
        <w:ind w:right="940"/>
        <w:spacing w:after="0" w:line="438" w:lineRule="auto"/>
        <w:rPr>
          <w:sz w:val="20"/>
          <w:szCs w:val="20"/>
          <w:color w:val="auto"/>
        </w:rPr>
      </w:pPr>
      <w:r>
        <w:rPr>
          <w:rFonts w:ascii="Times New Roman" w:cs="Times New Roman" w:eastAsia="Times New Roman" w:hAnsi="Times New Roman"/>
          <w:sz w:val="18"/>
          <w:szCs w:val="18"/>
          <w:color w:val="auto"/>
        </w:rPr>
        <w:t xml:space="preserve">This matter is solely related to a legacy Con-way truck manufacturing business and is unrelated to our current Less-than-Truckload operations. </w:t>
      </w:r>
      <w:r>
        <w:rPr>
          <w:rFonts w:ascii="Times New Roman" w:cs="Times New Roman" w:eastAsia="Times New Roman" w:hAnsi="Times New Roman"/>
          <w:sz w:val="18"/>
          <w:szCs w:val="18"/>
          <w:i w:val="1"/>
          <w:iCs w:val="1"/>
          <w:color w:val="auto"/>
        </w:rPr>
        <w:t>California Environmental Matters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2022, the Company received a letter from the San Bernardino County District Attorney’s Office (the “County”), written in cooperation with certain other California District Attorneys and the Los Angeles City Attorney, notifying the Company of an investigation into alleged violations with respect to underground storage tanks, hazardous materials, and hazardous waste in California, and offering a meeting. Following meetings between the Company and County attorneys and the Los Angeles City Attorney and an assessment of the allegations and the underlying facts, the Company engaged in negotiations with the County and Los Angeles City Attorneys to address settlement of the alleged violations. The Company previously accrued for this matter, and it was resolved for $7.9 million in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352" w:lineRule="exact"/>
        <w:rPr>
          <w:sz w:val="20"/>
          <w:szCs w:val="20"/>
          <w:color w:val="auto"/>
        </w:rPr>
      </w:pPr>
    </w:p>
    <w:p>
      <w:pPr>
        <w:ind w:right="12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pursuant to Rule 13a-15(e) and Rule</w:t>
      </w:r>
    </w:p>
    <w:p>
      <w:pPr>
        <w:ind w:right="100"/>
        <w:spacing w:after="0" w:line="253"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as of December 31, 2025. Based on that evaluation, our CEO and CFO concluded that our disclosure controls and procedures were effective as of December 31, 2025, such that the information required to be included in our SEC reports is: (i) recorded, processed, summarized and reported within the time periods specified in SEC rules and forms relating to XPO, including our consolidated subsidiaries; and (ii) accumulated and communicated to our management, including our CEO and CFO,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under the Securities Exchange Act of 1934, as amended. Under the supervision and with the participation of our management, including our CEO and CFO, we conducted an evaluation of the effectiveness of our internal control over financial reporting as of December 31, 2025, based on the framework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we concluded that our internal control over financial reporting was effective as of December 31, 2025.</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December 31, 2025 that have materially affected, or are reasonably likely to materially affect, our internal control over financial reporting.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677545</wp:posOffset>
            </wp:positionV>
            <wp:extent cx="325755"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of Part III of Form 10-K (other than certain information required by Item 401 of Regulation S-K with respect to our executive officers, which is provided under Item 1, “Business” of Part I of this Annual Report) will be set forth in our definitive Proxy Statement for the 2026 Annual Meeting of Stockholders and is incorporated herein by reference.</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Ethics (the “Code”), which is applicable to our principal executive officer, principal financial officer, principal accounting officer and other senior officers. The Code is available on our Investor Relations website at </w:t>
      </w:r>
      <w:r>
        <w:rPr>
          <w:rFonts w:ascii="Times New Roman" w:cs="Times New Roman" w:eastAsia="Times New Roman" w:hAnsi="Times New Roman"/>
          <w:sz w:val="18"/>
          <w:szCs w:val="18"/>
          <w:u w:val="single" w:color="auto"/>
          <w:color w:val="auto"/>
        </w:rPr>
        <w:t>investors.xpo.com</w:t>
      </w:r>
      <w:r>
        <w:rPr>
          <w:rFonts w:ascii="Times New Roman" w:cs="Times New Roman" w:eastAsia="Times New Roman" w:hAnsi="Times New Roman"/>
          <w:sz w:val="18"/>
          <w:szCs w:val="18"/>
          <w:color w:val="auto"/>
        </w:rPr>
        <w:t>, under the heading “Corporate Governance Highlights”. In the event that we amend or waive any of the provisions of the Code that relate to any element of the code of ethics definition enumerated in Item 406(b) of Regulation S-K, we intend to disclose the same on our website at the web address specified above.</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insider trading policies and procedures that govern the purchase, sale and other dispositions of our securities by directors, officers and employees of the company (including its subsidiaries), and other covered individuals. We believe these policies and procedures are reasonably designed to promote compliance with insider trading laws, rules and regulations and applicable listing standards. A copy of our Insider Trading Policy is filed with this Annual Report on Form 10-K as Exhibit 19.1.</w:t>
      </w:r>
    </w:p>
    <w:p>
      <w:pPr>
        <w:spacing w:after="0" w:line="2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Part III of Form 10-K will be set forth in our Proxy Statement for the 2026 Annual Meeting of Stockholders and is incorporated herein by reference.</w:t>
      </w:r>
    </w:p>
    <w:p>
      <w:pPr>
        <w:spacing w:after="0" w:line="21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MATTERS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2026 Annual Meeting of Stockholders and is incorporated herein by reference.</w:t>
      </w:r>
    </w:p>
    <w:p>
      <w:pPr>
        <w:spacing w:after="0" w:line="2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Part III of Form 10-K will be set forth in our Proxy Statement for the 2026 Annual Meeting of Stockholders and is incorporated herein by reference.</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Dallas, TX, Auditor ID: 185.</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Part III of Form 10-K will be set forth in our Proxy Statement for the 2026 Annual Meeting of Stockholders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0" w:name="page91"/>
    <w:bookmarkEnd w:id="90"/>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2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2"/>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3"/>
                <w:szCs w:val="23"/>
                <w:color w:val="auto"/>
              </w:rPr>
            </w:pPr>
          </w:p>
        </w:tc>
        <w:tc>
          <w:tcPr>
            <w:tcW w:w="9860" w:type="dxa"/>
            <w:vAlign w:val="bottom"/>
            <w:gridSpan w:val="31"/>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Investment Agreement, dated June 13, 2011, by and among Jacobs Private Equity, LLC (“JPE”), each of the other investors party thereto</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and the registrant (incorporated herein by reference to Exhibit 2.1 to the registrant’s Current Report on Form 8-K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June 14, 2011).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2"/>
                <w:szCs w:val="22"/>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Separation and Distribution Agreement, dated August 1, 2021, by and between the registrant and GXO Logistics, Inc.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herein by reference to Exhibit 2.1 to the registrant’s Current Report on Form 8-K filed with the SEC on August 3, 2021).</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Separation and Distribution Agreement, dated October 31, 2022, by and between the registrant and RXO, Inc. (incorporated herein by</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reference to Exhibit 2.1 to the registrant’s Current Report on Form 8-K filed with the SEC on November 1, 2022).</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Asset Purchase Agreement by and among XPO, Inc., Yellow Corporation and certain subsidiaries of Yellow Corporation named therein,</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dated December 4, 2023 (incorporated herein by reference to Exhibit 2.1 to the registrant’s Current Report on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SEC on December 21, 2023).</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2"/>
                <w:szCs w:val="22"/>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Amended and Restated Certificate of Incorporation of the registrant, dated May 17, 2005 (incorporated herein by reference to Exhibit</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Annual Report on Form 10-K filed with the SEC on March 27, 2008).</w:t>
              </w:r>
            </w:hyperlink>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Certificate of Amendment to the Amended and Restated Certificate of Incorporation of the registrant, dated May 31, 2006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herein by reference to Exhibit 3 to the registrant’s Current Report on Form 8-K filed with the SEC on June 7, 2006).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Certificate of Amendment to the Amended and Restated Certificate of Incorporation of the registrant, dated June 20, 2007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herein by reference to Exhibit 3(i) to the registrant’s Quarterly Report on Form 10-Q filed with the SEC on August 14, 2007).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Certificate of Amendment to the Amended and Restated Certificate of Incorporation of the registrant, dated September 1, 2011</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283">
              <w:r>
                <w:rPr>
                  <w:rFonts w:ascii="Times New Roman" w:cs="Times New Roman" w:eastAsia="Times New Roman" w:hAnsi="Times New Roman"/>
                  <w:sz w:val="18"/>
                  <w:szCs w:val="18"/>
                  <w:color w:val="0000FF"/>
                  <w:w w:val="98"/>
                </w:rPr>
                <w:t>(incorporated herein by reference to Exhibit 3.1 to the registrant’s Current Report on Form 8-K filed with the SEC on September</w:t>
              </w:r>
            </w:hyperlink>
          </w:p>
        </w:tc>
        <w:tc>
          <w:tcPr>
            <w:tcW w:w="740" w:type="dxa"/>
            <w:vAlign w:val="bottom"/>
            <w:gridSpan w:val="14"/>
          </w:tcPr>
          <w:p>
            <w:pPr>
              <w:ind w:left="160"/>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6, 2011</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283">
              <w:r>
                <w:rPr>
                  <w:rFonts w:ascii="Times New Roman" w:cs="Times New Roman" w:eastAsia="Times New Roman" w:hAnsi="Times New Roman"/>
                  <w:sz w:val="18"/>
                  <w:szCs w:val="18"/>
                  <w:color w:val="0000FF"/>
                  <w:w w:val="98"/>
                </w:rPr>
                <w:t>(the “September 2011 Form 8-K”)).</w:t>
              </w:r>
            </w:hyperlink>
          </w:p>
        </w:tc>
        <w:tc>
          <w:tcPr>
            <w:tcW w:w="726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2"/>
                <w:szCs w:val="22"/>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Certificate of Amendment to the Amended and Restated Certificate of Incorporation of the registrant, dated May 20, 2015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herein by reference to Exhibit 3.1 to the registrant’s Current Report on Form 8-K filed with the SEC on May 21,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Certificate of Amendment to the Amended and Restated Certificate of Incorporation of the registrant, dated September 8, 2015</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285">
              <w:r>
                <w:rPr>
                  <w:rFonts w:ascii="Times New Roman" w:cs="Times New Roman" w:eastAsia="Times New Roman" w:hAnsi="Times New Roman"/>
                  <w:sz w:val="18"/>
                  <w:szCs w:val="18"/>
                  <w:color w:val="0000FF"/>
                  <w:w w:val="98"/>
                </w:rPr>
                <w:t>(incorporated herein by reference to Exhibit 3.1 to the registrant’s Current Report on Form 8-K filed with the SEC on September</w:t>
              </w:r>
            </w:hyperlink>
          </w:p>
        </w:tc>
        <w:tc>
          <w:tcPr>
            <w:tcW w:w="300" w:type="dxa"/>
            <w:vAlign w:val="bottom"/>
            <w:gridSpan w:val="3"/>
          </w:tcPr>
          <w:p>
            <w:pPr>
              <w:ind w:left="140"/>
              <w:spacing w:after="0" w:line="15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8,</w:t>
              </w:r>
            </w:hyperlink>
          </w:p>
        </w:tc>
        <w:tc>
          <w:tcPr>
            <w:tcW w:w="60" w:type="dxa"/>
            <w:vAlign w:val="bottom"/>
            <w:gridSpan w:val="2"/>
          </w:tcPr>
          <w:p>
            <w:pPr>
              <w:spacing w:after="0"/>
              <w:rPr>
                <w:sz w:val="13"/>
                <w:szCs w:val="13"/>
                <w:color w:val="auto"/>
              </w:rPr>
            </w:pPr>
          </w:p>
        </w:tc>
        <w:tc>
          <w:tcPr>
            <w:tcW w:w="3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285">
              <w:r>
                <w:rPr>
                  <w:rFonts w:ascii="Times New Roman" w:cs="Times New Roman" w:eastAsia="Times New Roman" w:hAnsi="Times New Roman"/>
                  <w:sz w:val="18"/>
                  <w:szCs w:val="18"/>
                  <w:color w:val="0000FF"/>
                  <w:w w:val="94"/>
                </w:rPr>
                <w:t>2015).</w:t>
              </w:r>
            </w:hyperlink>
          </w:p>
        </w:tc>
        <w:tc>
          <w:tcPr>
            <w:tcW w:w="6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2"/>
                <w:szCs w:val="22"/>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Certificate of Amendment to the Amended and Restated Certificate of Incorporation of the registrant, dated December 15, 2022</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(incorporated herein by reference to Exhibit 3.1 to the registrant’s Current Report on Form 8-K filed with the SEC on December</w:t>
              </w:r>
            </w:hyperlink>
          </w:p>
        </w:tc>
        <w:tc>
          <w:tcPr>
            <w:tcW w:w="680" w:type="dxa"/>
            <w:vAlign w:val="bottom"/>
            <w:gridSpan w:val="12"/>
          </w:tcPr>
          <w:p>
            <w:pPr>
              <w:jc w:val="right"/>
              <w:ind w:right="380"/>
              <w:spacing w:after="0" w:line="15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286">
              <w:r>
                <w:rPr>
                  <w:rFonts w:ascii="Times New Roman" w:cs="Times New Roman" w:eastAsia="Times New Roman" w:hAnsi="Times New Roman"/>
                  <w:sz w:val="18"/>
                  <w:szCs w:val="18"/>
                  <w:color w:val="0000FF"/>
                  <w:w w:val="94"/>
                </w:rPr>
                <w:t>2022).</w:t>
              </w:r>
            </w:hyperlink>
          </w:p>
        </w:tc>
        <w:tc>
          <w:tcPr>
            <w:tcW w:w="6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4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91</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8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2"/>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3"/>
                <w:szCs w:val="23"/>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4th Amended and Restated Bylaws of the registrant, dated February 5, 2024 (incorporated herein by reference to Exhibit 3.8 to the</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registrant’s Annual Report on Form 10-K filed with the SEC on February 8, 2024).</w:t>
              </w:r>
            </w:hyperlink>
          </w:p>
        </w:tc>
        <w:tc>
          <w:tcPr>
            <w:tcW w:w="34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Certificate of Designation of Series A Convertible Perpetual Preferred Stock of the registrant, dated September 2, 2011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herein by reference to Exhibit 4.1 to the September 2011 Form 8-K).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Registration Rights Agreement, dated September 2, 2011, by and among JPE, each of the other holders and designated secured lenders</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party thereto and the registrant (incorporated herein by reference to Exhibit 4.3 to the September 2011 Form 8-K).</w:t>
              </w:r>
            </w:hyperlink>
          </w:p>
        </w:tc>
        <w:tc>
          <w:tcPr>
            <w:tcW w:w="1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Certificate of Designation of Series B Convertible Perpetual Preferred Stock of the registrant, dated September 16, 2014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herein by reference to Exhibit 4.1 to the registrant’s Current Report on Form 8-K filed with the SEC on September 18,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Certificate of Designation of Series C Convertible Perpetual Preferred Stock of the registrant, dated June 3, 2015 (incorporated herein by</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reference to Exhibit 4.2 to the registrant’s Amendment No. 1 to Current Report on Form 8-K/A filed with the SEC on June 26, 2015).</w:t>
              </w:r>
            </w:hyperlink>
          </w:p>
        </w:tc>
        <w:tc>
          <w:tcPr>
            <w:tcW w:w="2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Description of Common Stock (incorporated herein by reference to Exhibit 4.5 to registrant’s Annual Report on Form 10-K filed with</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the SEC on February 8, 2024).</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Indenture, dated May 24, 2023, by and among XPO, Inc., the guarantors party thereto from time to time and U.S. Bank Trust Company,</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7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National Association, as trustee and notes collateral agent (incorporated herein by reference to Exhibit 4.1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Report on Form 8-K filed with the SEC on May 25, 2023).</w:t>
              </w:r>
            </w:hyperlink>
          </w:p>
        </w:tc>
        <w:tc>
          <w:tcPr>
            <w:tcW w:w="52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Indenture, dated May 24, 2023, by and among XPO, Inc., the guarantors party thereto from time to time and U.S. Bank Trust Company,</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7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National Association, as trustee (incorporated herein by reference to Exhibit 4.2 to the registrant’s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5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with the SEC on May 25, 2023).</w:t>
              </w:r>
            </w:hyperlink>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Indenture, dated as of December 13, 2023, by and among XPO, Inc., the guarantors party thereto from time to time and U.S. Bank Trust</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Company, National Association, as trustee and notes collateral agent (incorporated herein by reference to Exhibit 4.1 to the registrant’s</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current report on Form 8-K filed with the SEC on December 13, 2023).</w:t>
              </w:r>
            </w:hyperlink>
          </w:p>
        </w:tc>
        <w:tc>
          <w:tcPr>
            <w:tcW w:w="4600" w:type="dxa"/>
            <w:vAlign w:val="bottom"/>
            <w:tcBorders>
              <w:top w:val="single" w:sz="8" w:color="0000FF"/>
            </w:tcBorders>
            <w:gridSpan w:val="19"/>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2016 Omnibus Incentive Compensation Plan (incorporated herein by reference to Annex A to the registrant’s definitive proxy statement</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on Schedule 14A filed with the SEC on November 21, 2016).</w:t>
              </w:r>
            </w:hyperlink>
          </w:p>
        </w:tc>
        <w:tc>
          <w:tcPr>
            <w:tcW w:w="5360" w:type="dxa"/>
            <w:vAlign w:val="bottom"/>
            <w:tcBorders>
              <w:top w:val="single" w:sz="8" w:color="0000FF"/>
            </w:tcBorders>
            <w:gridSpan w:val="2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Amendment No. 1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to the registrant’s definitive proxy statement on Schedule 14A filed with the SEC on April 22, 2019).</w:t>
              </w:r>
            </w:hyperlink>
          </w:p>
        </w:tc>
        <w:tc>
          <w:tcPr>
            <w:tcW w:w="25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Amendment No. 2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to the registrant’s definitive proxy statement on Schedule 14A filed with the SEC on April 21, 2020).</w:t>
              </w:r>
            </w:hyperlink>
          </w:p>
        </w:tc>
        <w:tc>
          <w:tcPr>
            <w:tcW w:w="25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herein by reference to Exhibit 10.1 to the registrant’s Quarterly Report on Form 10-Q filed with the SEC on May 10, 2022).</w:t>
              </w:r>
            </w:hyperlink>
          </w:p>
        </w:tc>
        <w:tc>
          <w:tcPr>
            <w:tcW w:w="4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herein by reference to Exhibit 10.2 to the registrant’s Quarterly Report on Form 10-Q filed with the SEC on May 10, 2022).</w:t>
              </w:r>
            </w:hyperlink>
          </w:p>
        </w:tc>
        <w:tc>
          <w:tcPr>
            <w:tcW w:w="4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Amendment No. 3 to the XPO Logistics, Inc. 2016 Omnibus Incentive Compensation (incorporated herein by reference to Annex B to</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the registrant’s definitive proxy statement on Schedule 14A filed with the SEC on April 18, 2022).</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tcBorders>
              <w:top w:val="single" w:sz="8" w:color="0000FF"/>
            </w:tcBorders>
            <w:gridSpan w:val="3"/>
          </w:tcPr>
          <w:p>
            <w:pPr>
              <w:spacing w:after="0"/>
              <w:rPr>
                <w:sz w:val="24"/>
                <w:szCs w:val="24"/>
                <w:color w:val="auto"/>
              </w:rPr>
            </w:pPr>
          </w:p>
        </w:tc>
        <w:tc>
          <w:tcPr>
            <w:tcW w:w="540" w:type="dxa"/>
            <w:vAlign w:val="bottom"/>
            <w:tcBorders>
              <w:top w:val="single" w:sz="8" w:color="0000FF"/>
            </w:tcBorders>
            <w:gridSpan w:val="3"/>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CC0000"/>
            </w:tcBorders>
            <w:gridSpan w:val="2"/>
            <w:vMerge w:val="restart"/>
            <w:shd w:val="clear" w:color="auto" w:fill="CC0000"/>
          </w:tcPr>
          <w:p>
            <w:pPr>
              <w:jc w:val="right"/>
              <w:ind w:right="100"/>
              <w:spacing w:after="0"/>
              <w:rPr>
                <w:sz w:val="20"/>
                <w:szCs w:val="20"/>
                <w:color w:val="auto"/>
              </w:rPr>
            </w:pPr>
            <w:r>
              <w:rPr>
                <w:rFonts w:ascii="Times New Roman" w:cs="Times New Roman" w:eastAsia="Times New Roman" w:hAnsi="Times New Roman"/>
                <w:sz w:val="18"/>
                <w:szCs w:val="18"/>
                <w:color w:val="FFFFFF"/>
              </w:rPr>
              <w:t>92</w:t>
            </w:r>
          </w:p>
        </w:tc>
        <w:tc>
          <w:tcPr>
            <w:tcW w:w="80" w:type="dxa"/>
            <w:vAlign w:val="bottom"/>
            <w:tcBorders>
              <w:bottom w:val="single" w:sz="8" w:color="CC0000"/>
            </w:tcBorders>
            <w:shd w:val="clear" w:color="auto" w:fill="CC0000"/>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CC0000"/>
            </w:tcBorders>
            <w:gridSpan w:val="2"/>
            <w:vMerge w:val="continue"/>
            <w:shd w:val="clear" w:color="auto" w:fill="CC0000"/>
          </w:tcPr>
          <w:p>
            <w:pPr>
              <w:spacing w:after="0"/>
              <w:rPr>
                <w:sz w:val="10"/>
                <w:szCs w:val="10"/>
                <w:color w:val="auto"/>
              </w:rPr>
            </w:pPr>
          </w:p>
        </w:tc>
        <w:tc>
          <w:tcPr>
            <w:tcW w:w="80" w:type="dxa"/>
            <w:vAlign w:val="bottom"/>
            <w:tcBorders>
              <w:bottom w:val="single" w:sz="8" w:color="CC0000"/>
            </w:tcBorders>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2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2"/>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3"/>
                <w:szCs w:val="23"/>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herein by reference to Exhibit 10.2 to the registrant’s Quarterly Report on Form 10-Q filed with the SEC on November 2, 2022).</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Form of Time-Based Restricted Stock Unit Award Agreement for executive chairman and CEO (2016 Omnibus Incentive Compensation</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Plan) (incorporated herein by reference to Exhibit 10.3 to the registrant’s Quarterly Report on Form 10-Q filed with the SEC on May 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307">
              <w:r>
                <w:rPr>
                  <w:rFonts w:ascii="Times New Roman" w:cs="Times New Roman" w:eastAsia="Times New Roman" w:hAnsi="Times New Roman"/>
                  <w:sz w:val="18"/>
                  <w:szCs w:val="18"/>
                  <w:color w:val="0000FF"/>
                  <w:w w:val="94"/>
                </w:rPr>
                <w:t>2023).</w:t>
              </w:r>
            </w:hyperlink>
          </w:p>
        </w:tc>
        <w:tc>
          <w:tcPr>
            <w:tcW w:w="114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Performance-Based Restricted Stock Unit Award Agreement for executive chairman and CEO (2016 Omnibus Incentive</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60" w:type="dxa"/>
            <w:vAlign w:val="bottom"/>
            <w:gridSpan w:val="33"/>
          </w:tcPr>
          <w:p>
            <w:pPr>
              <w:spacing w:after="0" w:line="15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Compensation Plan) (incorporated herein by reference to Exhibit 10.4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SEC on May 4, 2023).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herein by reference to Exhibit 10.5 to the registrant’s Quarterly Report on Form 10-Q filed with the SEC on May 4, 2023).</w:t>
              </w:r>
            </w:hyperlink>
          </w:p>
        </w:tc>
        <w:tc>
          <w:tcPr>
            <w:tcW w:w="60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Exhibit 10.1 to the registrant’s Quarterly Report on Form 10-Q filed with the SEC on October 30, 2023).</w:t>
              </w:r>
            </w:hyperlink>
          </w:p>
        </w:tc>
        <w:tc>
          <w:tcPr>
            <w:tcW w:w="20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Performance-Based Restricted Stock Unit Award Agreement, dated April 21, 2023, between the registrant and David Bates (2016</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Omnibus Incentive Compensation Plan) (incorporated herein by reference to Exhibit 10.3 to the registrant’s Quarterly Report on</w:t>
              </w:r>
            </w:hyperlink>
          </w:p>
        </w:tc>
        <w:tc>
          <w:tcPr>
            <w:tcW w:w="540" w:type="dxa"/>
            <w:vAlign w:val="bottom"/>
            <w:gridSpan w:val="14"/>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10-Q filed with the SEC on October 30, 2023).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Promotion Restricted Stock Unit Award Agreement, dated August 15, 2023, between the registrant and Kyle Wismans (2016 Omnibus</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312">
              <w:r>
                <w:rPr>
                  <w:rFonts w:ascii="Times New Roman" w:cs="Times New Roman" w:eastAsia="Times New Roman" w:hAnsi="Times New Roman"/>
                  <w:sz w:val="18"/>
                  <w:szCs w:val="18"/>
                  <w:color w:val="0000FF"/>
                  <w:w w:val="98"/>
                </w:rPr>
                <w:t>Incentive Compensation Plan) (incorporated herein by reference to Exhibit 10.6 to the registrant’s Quarterly Report on Form 10-Q filed</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312">
              <w:r>
                <w:rPr>
                  <w:rFonts w:ascii="Times New Roman" w:cs="Times New Roman" w:eastAsia="Times New Roman" w:hAnsi="Times New Roman"/>
                  <w:sz w:val="18"/>
                  <w:szCs w:val="18"/>
                  <w:color w:val="0000FF"/>
                  <w:w w:val="98"/>
                </w:rPr>
                <w:t>with the SEC on October 30, 2023).</w:t>
              </w:r>
            </w:hyperlink>
          </w:p>
        </w:tc>
        <w:tc>
          <w:tcPr>
            <w:tcW w:w="7160" w:type="dxa"/>
            <w:vAlign w:val="bottom"/>
            <w:gridSpan w:val="25"/>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Performance-Based Restricted Stock Unit Award Agreement, dated August 15, 2023, between the registrant and Kyle Wismans (2016</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Omnibus Incentive Compensation Plan) (incorporated herein by reference to Exhibit 10.7 to the registrant’s Quarterly Report on Form</w:t>
              </w:r>
            </w:hyperlink>
          </w:p>
        </w:tc>
        <w:tc>
          <w:tcPr>
            <w:tcW w:w="1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10-Q filed with the SEC on October 30, 2023).</w:t>
              </w:r>
            </w:hyperlink>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XPO, Inc. Profit Sharing Incentive Plan, effective as of October 26, 2023 (incorporated herein by reference to Exhibit 10.9 to the</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registrant’s Quarterly Report on Form 10-Q filed with the SEC on October 30, 2023).</w:t>
              </w:r>
            </w:hyperlink>
          </w:p>
        </w:tc>
        <w:tc>
          <w:tcPr>
            <w:tcW w:w="3140" w:type="dxa"/>
            <w:vAlign w:val="bottom"/>
            <w:tcBorders>
              <w:top w:val="single" w:sz="8" w:color="0000FF"/>
            </w:tcBorders>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XPO, Inc. Profit Sharing Incentive Plan Award Agreement (incorporated herein by reference to Exhibit 10.10 to the registrant’s</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Quarterly Report on Form 10-Q filed with the SEC on October 30, 2023).</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Form of Restricted Stock Unit Award Agreement for executive chairman and CEO (2016 Omnibus Incentive Compensation Plan)</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(incorporated herein by reference to Exhibit 10.2 to the registrant’s Quarterly Report on Form 10-Q filed with the SEC on May 3,</w:t>
              </w:r>
            </w:hyperlink>
          </w:p>
        </w:tc>
        <w:tc>
          <w:tcPr>
            <w:tcW w:w="480" w:type="dxa"/>
            <w:vAlign w:val="bottom"/>
            <w:tcBorders>
              <w:bottom w:val="single" w:sz="8" w:color="0000FF"/>
            </w:tcBorders>
            <w:gridSpan w:val="11"/>
          </w:tcPr>
          <w:p>
            <w:pPr>
              <w:jc w:val="right"/>
              <w:spacing w:after="0" w:line="156" w:lineRule="exact"/>
              <w:rPr>
                <w:rFonts w:ascii="Times New Roman" w:cs="Times New Roman" w:eastAsia="Times New Roman" w:hAnsi="Times New Roman"/>
                <w:sz w:val="18"/>
                <w:szCs w:val="18"/>
                <w:color w:val="0000FF"/>
                <w:w w:val="98"/>
              </w:rPr>
            </w:pPr>
            <w:hyperlink r:id="rId316">
              <w:r>
                <w:rPr>
                  <w:rFonts w:ascii="Times New Roman" w:cs="Times New Roman" w:eastAsia="Times New Roman" w:hAnsi="Times New Roman"/>
                  <w:sz w:val="18"/>
                  <w:szCs w:val="18"/>
                  <w:color w:val="0000FF"/>
                  <w:w w:val="98"/>
                </w:rPr>
                <w:t>2024).</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Exhibit 10.3 to the registrant’s Quarterly Report on Form 10-Q filed with the SEC on May 3, 2024).</w:t>
              </w:r>
            </w:hyperlink>
          </w:p>
        </w:tc>
        <w:tc>
          <w:tcPr>
            <w:tcW w:w="23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Form of Performance-Based Restricted Stock Unit Award Agreement for executive chairman and CEO (2016 Omnibus Incentive</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60" w:type="dxa"/>
            <w:vAlign w:val="bottom"/>
            <w:gridSpan w:val="33"/>
          </w:tcPr>
          <w:p>
            <w:pPr>
              <w:spacing w:after="0" w:line="15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Compensation Plan) (incorporated herein by reference to Exhibit 10.4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SEC on May 3, 2024).</w:t>
              </w:r>
            </w:hyperlink>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herein by reference to Exhibit 10.5 to the registrant’s Quarterly Report on Form 10-Q filed with the SEC on May 3, 2024).</w:t>
              </w:r>
            </w:hyperlink>
          </w:p>
        </w:tc>
        <w:tc>
          <w:tcPr>
            <w:tcW w:w="60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3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0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Form of Restricted Stock Unit Award Agreement for Non-Employee Directors (2016 Omnibus Incentive Compensation Plan)</w:t>
              </w:r>
            </w:hyperlink>
          </w:p>
        </w:tc>
        <w:tc>
          <w:tcPr>
            <w:tcW w:w="8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60" w:type="dxa"/>
            <w:vAlign w:val="bottom"/>
            <w:gridSpan w:val="33"/>
          </w:tcPr>
          <w:p>
            <w:pPr>
              <w:spacing w:after="0" w:line="15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(incorporated herein by reference to Exhibit 10.26 to the registrant’s Annual Report on Form 10-K filed with the SEC on February 7,</w:t>
              </w:r>
            </w:hyperlink>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320">
              <w:r>
                <w:rPr>
                  <w:rFonts w:ascii="Times New Roman" w:cs="Times New Roman" w:eastAsia="Times New Roman" w:hAnsi="Times New Roman"/>
                  <w:sz w:val="18"/>
                  <w:szCs w:val="18"/>
                  <w:color w:val="0000FF"/>
                  <w:w w:val="94"/>
                </w:rPr>
                <w:t>2025).</w:t>
              </w:r>
            </w:hyperlink>
          </w:p>
        </w:tc>
        <w:tc>
          <w:tcPr>
            <w:tcW w:w="114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44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93</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100" w:type="dxa"/>
            <w:vAlign w:val="bottom"/>
            <w:gridSpan w:val="28"/>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10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10.22 +</w:t>
            </w:r>
          </w:p>
        </w:tc>
        <w:tc>
          <w:tcPr>
            <w:tcW w:w="160" w:type="dxa"/>
            <w:vAlign w:val="bottom"/>
          </w:tcPr>
          <w:p>
            <w:pPr>
              <w:spacing w:after="0"/>
              <w:rPr>
                <w:sz w:val="23"/>
                <w:szCs w:val="23"/>
                <w:color w:val="auto"/>
              </w:rPr>
            </w:pPr>
          </w:p>
        </w:tc>
        <w:tc>
          <w:tcPr>
            <w:tcW w:w="93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Form of Restricted Stock Unit Award Agreement for executive chairman and CEO (2016 Omnibus Incentive Compensation Plan)</w:t>
              </w:r>
            </w:hyperlink>
          </w:p>
        </w:tc>
        <w:tc>
          <w:tcPr>
            <w:tcW w:w="50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(incorporated herein by reference to Exhibit 10.2 to the registrant’s Quarterly Report on Form 10-Q filed with the SEC on April 30,</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23">
              <w:r>
                <w:rPr>
                  <w:rFonts w:ascii="Times New Roman" w:cs="Times New Roman" w:eastAsia="Times New Roman" w:hAnsi="Times New Roman"/>
                  <w:sz w:val="18"/>
                  <w:szCs w:val="18"/>
                  <w:color w:val="0000FF"/>
                  <w:w w:val="94"/>
                </w:rPr>
                <w:t>2025).</w:t>
              </w:r>
            </w:hyperlink>
          </w:p>
        </w:tc>
        <w:tc>
          <w:tcPr>
            <w:tcW w:w="1300" w:type="dxa"/>
            <w:vAlign w:val="bottom"/>
            <w:tcBorders>
              <w:top w:val="single" w:sz="8" w:color="0000FF"/>
            </w:tcBorders>
          </w:tcPr>
          <w:p>
            <w:pPr>
              <w:spacing w:after="0"/>
              <w:rPr>
                <w:sz w:val="14"/>
                <w:szCs w:val="14"/>
                <w:color w:val="auto"/>
              </w:rPr>
            </w:pPr>
          </w:p>
        </w:tc>
        <w:tc>
          <w:tcPr>
            <w:tcW w:w="28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160" w:type="dxa"/>
            <w:vAlign w:val="bottom"/>
          </w:tcPr>
          <w:p>
            <w:pPr>
              <w:spacing w:after="0"/>
              <w:rPr>
                <w:sz w:val="22"/>
                <w:szCs w:val="22"/>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Exhibit 10.3 to the registrant’s Quarterly Report on Form 10-Q filed with the SEC on April 30, 2025).</w:t>
              </w:r>
            </w:hyperlink>
          </w:p>
        </w:tc>
        <w:tc>
          <w:tcPr>
            <w:tcW w:w="22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Performance-Based Restricted Stock Unit Award Agreement for executive chairman and CEO (2016 Omnibus Incentive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Compensation Plan) (incorporated herein by reference to Exhibit 10.4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SEC on April 30, 2025).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160" w:type="dxa"/>
            <w:vAlign w:val="bottom"/>
          </w:tcPr>
          <w:p>
            <w:pPr>
              <w:spacing w:after="0"/>
              <w:rPr>
                <w:sz w:val="22"/>
                <w:szCs w:val="22"/>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herein by reference to Exhibit 10.5 to the registrant’s Quarterly Report on Form 10-Q filed with the SEC on April 30, 2025).</w:t>
              </w:r>
            </w:hyperlink>
          </w:p>
        </w:tc>
        <w:tc>
          <w:tcPr>
            <w:tcW w:w="4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10.26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Employment Agreement, dated August 5, 2022, between the registrant and Mario A. Harik (incorporated herein by reference to Exhibit</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7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Employment Agreement, dated September 13, 2022, between the registrant and Bradley S. Jacobs (incorporated by reference to Exhibit</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72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Amendment to Employment Agreement, effective as of November 1, 2022, between the registrant and Bradley S. Jacobs (incorporated</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herein by reference to Exhibit 10.34 to the registrant’s Annual Report on Form 10-K filed with the SEC on February 13, 2023).</w:t>
              </w:r>
            </w:hyperlink>
          </w:p>
        </w:tc>
        <w:tc>
          <w:tcPr>
            <w:tcW w:w="5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10.29 +*</w:t>
            </w:r>
          </w:p>
        </w:tc>
        <w:tc>
          <w:tcPr>
            <w:tcW w:w="160" w:type="dxa"/>
            <w:vAlign w:val="bottom"/>
          </w:tcPr>
          <w:p>
            <w:pPr>
              <w:spacing w:after="0"/>
              <w:rPr>
                <w:sz w:val="24"/>
                <w:szCs w:val="24"/>
                <w:color w:val="auto"/>
              </w:rPr>
            </w:pPr>
          </w:p>
        </w:tc>
        <w:tc>
          <w:tcPr>
            <w:tcW w:w="7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Special Advisor Agreement, dated December 14, 2025, between the registrant and Bradley S. Jacobs.</w:t>
            </w:r>
          </w:p>
        </w:tc>
        <w:tc>
          <w:tcPr>
            <w:tcW w:w="25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10.30 +</w:t>
            </w:r>
          </w:p>
        </w:tc>
        <w:tc>
          <w:tcPr>
            <w:tcW w:w="160" w:type="dxa"/>
            <w:vAlign w:val="bottom"/>
          </w:tcPr>
          <w:p>
            <w:pPr>
              <w:spacing w:after="0"/>
              <w:rPr>
                <w:sz w:val="22"/>
                <w:szCs w:val="22"/>
                <w:color w:val="auto"/>
              </w:rPr>
            </w:pPr>
          </w:p>
        </w:tc>
        <w:tc>
          <w:tcPr>
            <w:tcW w:w="9860" w:type="dxa"/>
            <w:vAlign w:val="bottom"/>
            <w:gridSpan w:val="30"/>
          </w:tcPr>
          <w:p>
            <w:pPr>
              <w:spacing w:after="0"/>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Offer Letter, dated February 14, 2023, between the registrant and Wendy Cassity (incorporated herein by reference to Exhibit 10.1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registrant’s Quarterly Report on Form 10-Q filed with the SEC on May 4, 2023).</w:t>
              </w:r>
            </w:hyperlink>
          </w:p>
        </w:tc>
        <w:tc>
          <w:tcPr>
            <w:tcW w:w="40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Change in Control and Severance Agreement, dated February 14, 2023, between the registrant and Wendy Cassity (incorporated herein</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by reference to Exhibit 10.2 to the registrant’s Quarterly Report on Form 10-Q filed with the SEC on May 4, 2023).</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gridSpan w:val="6"/>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Offer Letter, dated April 17, 2023, between the registrant and David Bates (incorporated herein by reference to Exhibit 10.6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registrant’s Quarterly Report on Form 10-Q filed with the SEC on May 4, 2023).</w:t>
              </w:r>
            </w:hyperlink>
          </w:p>
        </w:tc>
        <w:tc>
          <w:tcPr>
            <w:tcW w:w="3540" w:type="dxa"/>
            <w:vAlign w:val="bottom"/>
            <w:tcBorders>
              <w:top w:val="single" w:sz="8" w:color="0000FF"/>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10.33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Change in Control and Severance Agreement, dated April 17, 2023, between the registrant and David Bates (incorporated herein by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reference to Exhibit 10.7 to the registrant’s Quarterly Report on Form 10-Q filed with the SEC on May 4, 2023).</w:t>
              </w:r>
            </w:hyperlink>
          </w:p>
        </w:tc>
        <w:tc>
          <w:tcPr>
            <w:tcW w:w="140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10.34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Offer Letter, dated July 19, 2023, between the registrant and Kyle Wismans (incorporated herein by reference to Exhibit 10.4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registrant’s Quarterly Report on Form 10-Q filed with the SEC on August 4, 2023).</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gridSpan w:val="6"/>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10.35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Change in Control and Severance Agreement, dated July 19, 2023, between the registrant and Kyle Wismans (incorporated herein by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reference to Exhibit 10.5 to the registrant’s Quarterly Report on Form 10-Q filed with the SEC on August 4, 2023).</w:t>
              </w:r>
            </w:hyperlink>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10.36 +</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XPO, Inc. Employee Stock Purchase Plan, as amended and restated on October 29, 2024 (incorporated herein by reference to Exhibit</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registrant’s Quarterly Report on Form 10-Q filed with the SEC on October 30, 2024).</w:t>
              </w:r>
            </w:hyperlink>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gridSpan w:val="7"/>
            <w:shd w:val="clear" w:color="auto" w:fill="0000FF"/>
          </w:tcPr>
          <w:p>
            <w:pPr>
              <w:spacing w:after="0" w:line="20" w:lineRule="exact"/>
              <w:rPr>
                <w:sz w:val="1"/>
                <w:szCs w:val="1"/>
                <w:color w:val="auto"/>
              </w:rPr>
            </w:pPr>
          </w:p>
        </w:tc>
        <w:tc>
          <w:tcPr>
            <w:tcW w:w="290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24"/>
                <w:szCs w:val="24"/>
                <w:color w:val="auto"/>
              </w:rPr>
            </w:pPr>
          </w:p>
        </w:tc>
        <w:tc>
          <w:tcPr>
            <w:tcW w:w="9860" w:type="dxa"/>
            <w:vAlign w:val="bottom"/>
            <w:gridSpan w:val="30"/>
          </w:tcPr>
          <w:p>
            <w:pPr>
              <w:spacing w:after="0"/>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Senior Secured Term Loan Credit Agreement, dated October 30, 2015, by and among the registrant, certain subsidiaries signatory</w:t>
              </w:r>
            </w:hyperlink>
          </w:p>
        </w:tc>
        <w:tc>
          <w:tcPr>
            <w:tcW w:w="0" w:type="dxa"/>
            <w:vAlign w:val="bottom"/>
          </w:tcPr>
          <w:p>
            <w:pPr>
              <w:spacing w:after="0"/>
              <w:rPr>
                <w:sz w:val="1"/>
                <w:szCs w:val="1"/>
                <w:color w:val="auto"/>
              </w:rPr>
            </w:pPr>
          </w:p>
        </w:tc>
      </w:tr>
    </w:tbl>
    <w:p>
      <w:pPr>
        <w:ind w:left="800" w:right="660"/>
        <w:spacing w:after="0" w:line="233" w:lineRule="auto"/>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thereto, Morgan Stanley Senior Funding, Inc., as agent, and the Lenders from time to time party thereto (incorporated herein by</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reference to Exhibit 10.2 to the registrant’s Current Report on Form 8-K filed with the SEC on November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429260</wp:posOffset>
            </wp:positionV>
            <wp:extent cx="325755"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FFFFF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390525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-50800</wp:posOffset>
            </wp:positionV>
            <wp:extent cx="65919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640"/>
          </w:cols>
          <w:pgMar w:left="880" w:top="1440" w:right="379" w:bottom="1440" w:gutter="0" w:footer="0" w:header="0"/>
        </w:sectPr>
      </w:pPr>
    </w:p>
    <w:bookmarkStart w:id="94" w:name="page95"/>
    <w:bookmarkEnd w:id="94"/>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580" w:type="dxa"/>
            <w:vAlign w:val="bottom"/>
            <w:gridSpan w:val="27"/>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580" w:type="dxa"/>
            <w:vAlign w:val="bottom"/>
            <w:gridSpan w:val="2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0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23"/>
                <w:szCs w:val="23"/>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Incremental and Refinancing Amendment (Amendment No. 1 to Senior Secured Term Loan Credit Agreement), dated August 25, 2016,</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by and among the registrant, the subsidiaries signatory thereto, as guarantors, the lenders party thereto and Morgan Stanley Senior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Funding, Inc., as administrative agent (incorporated herein by reference to Exhibit 10.1 to the registrant’s Current Report on Form</w:t>
              </w:r>
            </w:hyperlink>
          </w:p>
        </w:tc>
        <w:tc>
          <w:tcPr>
            <w:tcW w:w="540" w:type="dxa"/>
            <w:vAlign w:val="bottom"/>
            <w:gridSpan w:val="15"/>
          </w:tcPr>
          <w:p>
            <w:pPr>
              <w:ind w:left="20"/>
              <w:spacing w:after="0" w:line="169"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8-K</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filed with the SEC on August 26,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60" w:type="dxa"/>
            <w:vAlign w:val="bottom"/>
          </w:tcPr>
          <w:p>
            <w:pPr>
              <w:spacing w:after="0"/>
              <w:rPr>
                <w:sz w:val="22"/>
                <w:szCs w:val="22"/>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Refinancing Amendment (Amendment No. 2 to Senior Secured Term Loan Credit Agreement), dated March 10, 2017, by and among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40" w:type="dxa"/>
            <w:vAlign w:val="bottom"/>
            <w:gridSpan w:val="33"/>
          </w:tcPr>
          <w:p>
            <w:pPr>
              <w:spacing w:after="0" w:line="169"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on March 13, 2017).</w:t>
              </w:r>
            </w:hyperlink>
          </w:p>
        </w:tc>
        <w:tc>
          <w:tcPr>
            <w:tcW w:w="83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22"/>
                <w:szCs w:val="22"/>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Refinancing Amendment (Amendment No. 3 to Senior Secured Term Loan Credit Agreement), dated February 23, 2018, by and among</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the registrant and certain subsidiaries signatory thereto, the lenders party thereto and Morgan Stanley Senior Funding, Inc., as</w:t>
              </w:r>
            </w:hyperlink>
          </w:p>
        </w:tc>
        <w:tc>
          <w:tcPr>
            <w:tcW w:w="76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40" w:type="dxa"/>
            <w:vAlign w:val="bottom"/>
            <w:gridSpan w:val="33"/>
          </w:tcPr>
          <w:p>
            <w:pPr>
              <w:spacing w:after="0" w:line="169"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administrative agent (incorporated herein by reference to Exhibit 10.1 of the registrant’s Current Report on Form 8-K filed with the SEC</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on February 26, 2018).</w:t>
              </w:r>
            </w:hyperlink>
          </w:p>
        </w:tc>
        <w:tc>
          <w:tcPr>
            <w:tcW w:w="82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Pr>
          <w:p>
            <w:pPr>
              <w:spacing w:after="0"/>
              <w:rPr>
                <w:sz w:val="22"/>
                <w:szCs w:val="22"/>
                <w:color w:val="auto"/>
              </w:rPr>
            </w:pPr>
          </w:p>
        </w:tc>
        <w:tc>
          <w:tcPr>
            <w:tcW w:w="9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Amendment No. 4 to Senior Secured Term Loan Credit Agreement, dated March 7, 2019, by and among the registrant and certain</w:t>
              </w:r>
            </w:hyperlink>
          </w:p>
        </w:tc>
        <w:tc>
          <w:tcPr>
            <w:tcW w:w="5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40" w:type="dxa"/>
            <w:vAlign w:val="bottom"/>
            <w:gridSpan w:val="33"/>
          </w:tcPr>
          <w:p>
            <w:pPr>
              <w:spacing w:after="0" w:line="15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herein by reference to Exhibit 10.1 to the registrant’s Quarterly Report on Form 10-Q filed with the SEC on May 1, 2019).</w:t>
              </w:r>
            </w:hyperlink>
          </w:p>
        </w:tc>
        <w:tc>
          <w:tcPr>
            <w:tcW w:w="9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22"/>
                <w:szCs w:val="22"/>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Incremental Amendment (Amendment No. 5 to Senior Secured Term Loan Credit Agreement), dated March 18, 2019, by and among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40" w:type="dxa"/>
            <w:vAlign w:val="bottom"/>
            <w:gridSpan w:val="33"/>
          </w:tcPr>
          <w:p>
            <w:pPr>
              <w:spacing w:after="0" w:line="169"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345">
              <w:r>
                <w:rPr>
                  <w:rFonts w:ascii="Times New Roman" w:cs="Times New Roman" w:eastAsia="Times New Roman" w:hAnsi="Times New Roman"/>
                  <w:sz w:val="18"/>
                  <w:szCs w:val="18"/>
                  <w:color w:val="0000FF"/>
                  <w:w w:val="98"/>
                </w:rPr>
                <w:t>on March 18, 2019).</w:t>
              </w:r>
            </w:hyperlink>
          </w:p>
        </w:tc>
        <w:tc>
          <w:tcPr>
            <w:tcW w:w="8360" w:type="dxa"/>
            <w:vAlign w:val="bottom"/>
            <w:tcBorders>
              <w:top w:val="single" w:sz="8" w:color="0000FF"/>
            </w:tcBorders>
            <w:gridSpan w:val="2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24"/>
                <w:szCs w:val="24"/>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Refinancing Amendment (Amendment No. 6 to Senior Secured Term Loan Credit Agreement), dated March 3, 2021, by and among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40" w:type="dxa"/>
            <w:vAlign w:val="bottom"/>
            <w:gridSpan w:val="33"/>
          </w:tcPr>
          <w:p>
            <w:pPr>
              <w:spacing w:after="0" w:line="169"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on March 3, 2021).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Pr>
          <w:p>
            <w:pPr>
              <w:spacing w:after="0"/>
              <w:rPr>
                <w:sz w:val="22"/>
                <w:szCs w:val="22"/>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Amendment No. 7 to Senior Secured Term Loan Credit Agreement, dated June 10, 2022, by and among the registrant and certain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40" w:type="dxa"/>
            <w:vAlign w:val="bottom"/>
            <w:gridSpan w:val="33"/>
          </w:tcPr>
          <w:p>
            <w:pPr>
              <w:spacing w:after="0" w:line="15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herein by reference to Exhibit 10.1 to the registrant’s Current Report on Form 8-K filed with the SEC on June 13, 2022).</w:t>
              </w:r>
            </w:hyperlink>
          </w:p>
        </w:tc>
        <w:tc>
          <w:tcPr>
            <w:tcW w:w="10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22"/>
                <w:szCs w:val="22"/>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Refinancing Amendment (Amendment No. 8 to Senior Secured Term Loan Credit Agreement), dated May 24, 2023, by and among</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XPO, Inc., the subsidiaries signatory thereto, as guarantors, the lenders party thereto and Morgan Stanley Senior Funding, Inc., as</w:t>
              </w:r>
            </w:hyperlink>
          </w:p>
        </w:tc>
        <w:tc>
          <w:tcPr>
            <w:tcW w:w="10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40" w:type="dxa"/>
            <w:vAlign w:val="bottom"/>
            <w:gridSpan w:val="33"/>
          </w:tcPr>
          <w:p>
            <w:pPr>
              <w:spacing w:after="0" w:line="169"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on May 25, 2023).</w:t>
              </w:r>
            </w:hyperlink>
          </w:p>
        </w:tc>
        <w:tc>
          <w:tcPr>
            <w:tcW w:w="8460" w:type="dxa"/>
            <w:vAlign w:val="bottom"/>
            <w:tcBorders>
              <w:top w:val="single" w:sz="8" w:color="0000FF"/>
            </w:tcBorders>
            <w:gridSpan w:val="2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22"/>
                <w:szCs w:val="22"/>
                <w:color w:val="auto"/>
              </w:rPr>
            </w:pPr>
          </w:p>
        </w:tc>
        <w:tc>
          <w:tcPr>
            <w:tcW w:w="9940" w:type="dxa"/>
            <w:vAlign w:val="bottom"/>
            <w:gridSpan w:val="33"/>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Refinancing Amendment (Amendment No. 9 to Senior Secured Term Loan Credit Agreement), dated December 13, 2023, by 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among XPO, Inc., the subsidiaries signatory thereto, as guarantors, the lenders party thereto and Morgan Stanley Senior Funding,</w:t>
              </w:r>
            </w:hyperlink>
          </w:p>
        </w:tc>
        <w:tc>
          <w:tcPr>
            <w:tcW w:w="20" w:type="dxa"/>
            <w:vAlign w:val="bottom"/>
          </w:tcPr>
          <w:p>
            <w:pPr>
              <w:spacing w:after="0"/>
              <w:rPr>
                <w:sz w:val="13"/>
                <w:szCs w:val="13"/>
                <w:color w:val="auto"/>
              </w:rPr>
            </w:pPr>
          </w:p>
        </w:tc>
        <w:tc>
          <w:tcPr>
            <w:tcW w:w="600" w:type="dxa"/>
            <w:vAlign w:val="bottom"/>
            <w:gridSpan w:val="18"/>
          </w:tcPr>
          <w:p>
            <w:pPr>
              <w:ind w:left="20"/>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Inc.,</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as administrative agent (incorporated herein by reference to Exhibit 10.1 to the registrant’s Current Report on Form 8-K filed with the</w:t>
              </w:r>
            </w:hyperlink>
          </w:p>
        </w:tc>
        <w:tc>
          <w:tcPr>
            <w:tcW w:w="8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SEC on December 13, 2023).</w:t>
              </w:r>
            </w:hyperlink>
          </w:p>
        </w:tc>
        <w:tc>
          <w:tcPr>
            <w:tcW w:w="12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60" w:type="dxa"/>
            <w:vAlign w:val="bottom"/>
          </w:tcPr>
          <w:p>
            <w:pPr>
              <w:spacing w:after="0"/>
              <w:rPr>
                <w:sz w:val="22"/>
                <w:szCs w:val="22"/>
                <w:color w:val="auto"/>
              </w:rPr>
            </w:pPr>
          </w:p>
        </w:tc>
        <w:tc>
          <w:tcPr>
            <w:tcW w:w="9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Refinancing Amendment (Amendment No. 10 to Senior Secured Term Loan Credit Agreement), dated February 26, 2025, by and</w:t>
              </w:r>
            </w:hyperlink>
          </w:p>
        </w:tc>
        <w:tc>
          <w:tcPr>
            <w:tcW w:w="6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40" w:type="dxa"/>
            <w:vAlign w:val="bottom"/>
            <w:gridSpan w:val="33"/>
          </w:tcPr>
          <w:p>
            <w:pPr>
              <w:spacing w:after="0" w:line="15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among the registrant, the subsidiaries signatory thereto, as guarantors, the lenders party thereto and Morgan Stanley Senior Funding, Inc.</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as administrative agent and collateral agent (incorporated herein by reference to Exhibit 10.1 to the registrant’s Current Report on Form</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8-K filed with the SEC on February 26, 2025).</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658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23"/>
                <w:szCs w:val="23"/>
                <w:color w:val="auto"/>
              </w:rPr>
            </w:pPr>
          </w:p>
        </w:tc>
        <w:tc>
          <w:tcPr>
            <w:tcW w:w="9940" w:type="dxa"/>
            <w:vAlign w:val="bottom"/>
            <w:gridSpan w:val="33"/>
          </w:tcPr>
          <w:p>
            <w:pPr>
              <w:spacing w:after="0"/>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Revolving Credit Agreement, dated February 26, 2025, by and among the registrant, the subsidiaries signatory thereto, as guarantors, the</w:t>
              </w:r>
            </w:hyperlink>
          </w:p>
        </w:tc>
        <w:tc>
          <w:tcPr>
            <w:tcW w:w="0" w:type="dxa"/>
            <w:vAlign w:val="bottom"/>
          </w:tcPr>
          <w:p>
            <w:pPr>
              <w:spacing w:after="0"/>
              <w:rPr>
                <w:sz w:val="1"/>
                <w:szCs w:val="1"/>
                <w:color w:val="auto"/>
              </w:rPr>
            </w:pPr>
          </w:p>
        </w:tc>
      </w:tr>
    </w:tbl>
    <w:p>
      <w:pPr>
        <w:ind w:left="660" w:right="240"/>
        <w:spacing w:after="0" w:line="233" w:lineRule="auto"/>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lenders party thereto and Wells Fargo Bank, National Association as administrative agent and collateral agent (incorporated herein by</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u w:val="single" w:color="auto"/>
            <w:color w:val="0000FF"/>
          </w:rPr>
          <w:t>reference to Exhibit 10.2 to the registrant’s Current Report on Form 8-K filed with the SEC on February 26,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429260</wp:posOffset>
            </wp:positionV>
            <wp:extent cx="325755" cy="205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FFFFF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390525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-50800</wp:posOffset>
            </wp:positionV>
            <wp:extent cx="65919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520"/>
          </w:cols>
          <w:pgMar w:left="1020" w:top="1440" w:right="359" w:bottom="1440" w:gutter="0" w:footer="0" w:header="0"/>
        </w:sectPr>
      </w:pPr>
    </w:p>
    <w:bookmarkStart w:id="95" w:name="page96"/>
    <w:bookmarkEnd w:id="95"/>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60" w:type="dxa"/>
            <w:vAlign w:val="bottom"/>
            <w:gridSpan w:val="2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360" w:type="dxa"/>
            <w:vAlign w:val="bottom"/>
            <w:gridSpan w:val="2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2"/>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tcPr>
          <w:p>
            <w:pPr>
              <w:spacing w:after="0"/>
              <w:rPr>
                <w:sz w:val="23"/>
                <w:szCs w:val="23"/>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Technical Amendment (Amendment No. 1 to Revolving Credit Agreement), dated March 14, 2025, by and among the registrant, the</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5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subsidiaries signatory thereto, as guarantors, the lenders party thereto and Wells Fargo Bank, National Association as administrative</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5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agent and collateral agent (incorporated herein by reference to Exhibit 10.8 to the registrant’s Quarterly Report on Form 10-Q filed</w:t>
              </w:r>
            </w:hyperlink>
          </w:p>
        </w:tc>
        <w:tc>
          <w:tcPr>
            <w:tcW w:w="380" w:type="dxa"/>
            <w:vAlign w:val="bottom"/>
            <w:gridSpan w:val="7"/>
          </w:tcPr>
          <w:p>
            <w:pPr>
              <w:spacing w:after="0" w:line="16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with</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the SEC on April 30, 2025).</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22"/>
                <w:szCs w:val="22"/>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Tax Matters Agreement, dated August 1, 2021, by and between the registrant and GXO Logistics, Inc. (incorporated herein by reference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to Exhibit 10.2 to the registrant’s Current Report on Form 8-K filed with the SEC on August 3, 2021).</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tcPr>
          <w:p>
            <w:pPr>
              <w:spacing w:after="0"/>
              <w:rPr>
                <w:sz w:val="24"/>
                <w:szCs w:val="24"/>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Employee Matters Agreement, dated August 1, 2021, by and between the registrant and GXO Logistics, Inc. (incorporated herein by</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reference to Exhibit 10.3 to the registrant’s Current Report on Form 8-K filed with the SEC on August 3, 2021).</w:t>
              </w:r>
            </w:hyperlink>
          </w:p>
        </w:tc>
        <w:tc>
          <w:tcPr>
            <w:tcW w:w="1500" w:type="dxa"/>
            <w:vAlign w:val="bottom"/>
            <w:tcBorders>
              <w:top w:val="single" w:sz="8" w:color="0000FF"/>
            </w:tcBorders>
            <w:gridSpan w:val="1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60" w:type="dxa"/>
            <w:vAlign w:val="bottom"/>
          </w:tcPr>
          <w:p>
            <w:pPr>
              <w:spacing w:after="0"/>
              <w:rPr>
                <w:sz w:val="24"/>
                <w:szCs w:val="24"/>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Intellectual Property License Agreement, dated October 24, 2022, by and between the registrant and XPO NAT Solutions, LLC</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(incorporated herein by reference to Exhibit 10.1 to the registrant’s Current Report on Form 8-K filed with the SEC on October</w:t>
              </w:r>
            </w:hyperlink>
          </w:p>
        </w:tc>
        <w:tc>
          <w:tcPr>
            <w:tcW w:w="280" w:type="dxa"/>
            <w:vAlign w:val="bottom"/>
            <w:gridSpan w:val="3"/>
          </w:tcPr>
          <w:p>
            <w:pPr>
              <w:jc w:val="right"/>
              <w:ind w:right="20"/>
              <w:spacing w:after="0" w:line="15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25,</w:t>
              </w:r>
            </w:hyperlink>
          </w:p>
        </w:tc>
        <w:tc>
          <w:tcPr>
            <w:tcW w:w="2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58">
              <w:r>
                <w:rPr>
                  <w:rFonts w:ascii="Times New Roman" w:cs="Times New Roman" w:eastAsia="Times New Roman" w:hAnsi="Times New Roman"/>
                  <w:sz w:val="18"/>
                  <w:szCs w:val="18"/>
                  <w:color w:val="0000FF"/>
                  <w:w w:val="94"/>
                </w:rPr>
                <w:t>2022).</w:t>
              </w:r>
            </w:hyperlink>
          </w:p>
        </w:tc>
        <w:tc>
          <w:tcPr>
            <w:tcW w:w="1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tcPr>
          <w:p>
            <w:pPr>
              <w:spacing w:after="0"/>
              <w:rPr>
                <w:sz w:val="22"/>
                <w:szCs w:val="22"/>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Transition Services Agreement, dated October 31, 2022, by and between the registrant and RXO, Inc. (incorporated herein by reference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to Exhibit 10.1 to the registrant’s Current Report on Form 8-K filed with the SEC on November 1, 2022).</w:t>
              </w:r>
            </w:hyperlink>
          </w:p>
        </w:tc>
        <w:tc>
          <w:tcPr>
            <w:tcW w:w="2160" w:type="dxa"/>
            <w:vAlign w:val="bottom"/>
            <w:tcBorders>
              <w:top w:val="single" w:sz="8" w:color="0000FF"/>
            </w:tcBorders>
            <w:gridSpan w:val="1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Pr>
          <w:p>
            <w:pPr>
              <w:spacing w:after="0"/>
              <w:rPr>
                <w:sz w:val="24"/>
                <w:szCs w:val="24"/>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Tax Matters Agreement, dated October 31, 2022, by and between the registrant and RXO, Inc. (incorporated herein by reference to</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Exhibit 10.2 to the registrant’s Current Report on Form 8-K filed with the SEC on November 1, 2022).</w:t>
              </w:r>
            </w:hyperlink>
          </w:p>
        </w:tc>
        <w:tc>
          <w:tcPr>
            <w:tcW w:w="202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24"/>
                <w:szCs w:val="24"/>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Employee Matters Agreement, dated October 31, 2022, by and between the registrant and RXO, Inc. (incorporated herein by reference</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to Exhibit 10.3 to the registrant’s Current Report on Form 8-K filed with the SEC on November 1, 2022).</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60" w:type="dxa"/>
            <w:vAlign w:val="bottom"/>
          </w:tcPr>
          <w:p>
            <w:pPr>
              <w:spacing w:after="0"/>
              <w:rPr>
                <w:sz w:val="24"/>
                <w:szCs w:val="24"/>
                <w:color w:val="auto"/>
              </w:rPr>
            </w:pPr>
          </w:p>
        </w:tc>
        <w:tc>
          <w:tcPr>
            <w:tcW w:w="75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XPO, Inc. Insider Trading Policy, dated November 3, 2025.</w:t>
            </w:r>
          </w:p>
        </w:tc>
        <w:tc>
          <w:tcPr>
            <w:tcW w:w="23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22"/>
                <w:szCs w:val="22"/>
                <w:color w:val="auto"/>
              </w:rPr>
            </w:pPr>
          </w:p>
        </w:tc>
        <w:tc>
          <w:tcPr>
            <w:tcW w:w="21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2160" w:type="dxa"/>
            <w:vAlign w:val="bottom"/>
            <w:tcBorders>
              <w:top w:val="single" w:sz="8" w:color="0000FF"/>
            </w:tcBorders>
            <w:gridSpan w:val="3"/>
          </w:tcPr>
          <w:p>
            <w:pPr>
              <w:spacing w:after="0"/>
              <w:rPr>
                <w:sz w:val="22"/>
                <w:szCs w:val="22"/>
                <w:color w:val="auto"/>
              </w:rPr>
            </w:pPr>
          </w:p>
        </w:tc>
        <w:tc>
          <w:tcPr>
            <w:tcW w:w="560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22"/>
                <w:szCs w:val="22"/>
                <w:color w:val="auto"/>
              </w:rPr>
            </w:pPr>
          </w:p>
        </w:tc>
        <w:tc>
          <w:tcPr>
            <w:tcW w:w="5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456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tcPr>
          <w:p>
            <w:pPr>
              <w:spacing w:after="0"/>
              <w:rPr>
                <w:sz w:val="22"/>
                <w:szCs w:val="22"/>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Section 302 of the Sarbanes-Oxley Act of 2002, with respect to the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2025.</w:t>
            </w:r>
          </w:p>
        </w:tc>
        <w:tc>
          <w:tcPr>
            <w:tcW w:w="28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6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Section 302 of the Sarbanes-Oxley Act of 2002, with respect to the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2025.</w:t>
            </w:r>
          </w:p>
        </w:tc>
        <w:tc>
          <w:tcPr>
            <w:tcW w:w="2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Section 906 of the Sarbanes-Oxley Act of 2002, with respect to the</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2025.</w:t>
            </w:r>
          </w:p>
        </w:tc>
        <w:tc>
          <w:tcPr>
            <w:tcW w:w="28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Section 906 of the Sarbanes-Oxley Act of 2002, with respect to the</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2025.</w:t>
            </w:r>
          </w:p>
        </w:tc>
        <w:tc>
          <w:tcPr>
            <w:tcW w:w="280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300" w:type="dxa"/>
            <w:vAlign w:val="bottom"/>
            <w:gridSpan w:val="4"/>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24"/>
                <w:szCs w:val="24"/>
                <w:color w:val="auto"/>
              </w:rPr>
            </w:pPr>
          </w:p>
        </w:tc>
        <w:tc>
          <w:tcPr>
            <w:tcW w:w="9880" w:type="dxa"/>
            <w:vAlign w:val="bottom"/>
            <w:gridSpan w:val="3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XPO, Inc. Clawback Policy, effective as of October 2, 2023 (incorporated herein by reference to Exhibit 10.8 to the registrant’s</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Quarterly Report on Form 10-Q filed with the SEC on October 30, 2023).</w:t>
              </w:r>
            </w:hyperlink>
          </w:p>
        </w:tc>
        <w:tc>
          <w:tcPr>
            <w:tcW w:w="300" w:type="dxa"/>
            <w:vAlign w:val="bottom"/>
            <w:gridSpan w:val="4"/>
          </w:tcPr>
          <w:p>
            <w:pPr>
              <w:spacing w:after="0"/>
              <w:rPr>
                <w:sz w:val="13"/>
                <w:szCs w:val="13"/>
                <w:color w:val="auto"/>
              </w:rPr>
            </w:pPr>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101.INS *</w:t>
            </w:r>
          </w:p>
        </w:tc>
        <w:tc>
          <w:tcPr>
            <w:tcW w:w="160" w:type="dxa"/>
            <w:vAlign w:val="bottom"/>
          </w:tcPr>
          <w:p>
            <w:pPr>
              <w:spacing w:after="0"/>
              <w:rPr>
                <w:sz w:val="24"/>
                <w:szCs w:val="24"/>
                <w:color w:val="auto"/>
              </w:rPr>
            </w:pPr>
          </w:p>
        </w:tc>
        <w:tc>
          <w:tcPr>
            <w:tcW w:w="5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5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101.SCH *</w:t>
            </w:r>
          </w:p>
        </w:tc>
        <w:tc>
          <w:tcPr>
            <w:tcW w:w="16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101.CAL *</w:t>
            </w:r>
          </w:p>
        </w:tc>
        <w:tc>
          <w:tcPr>
            <w:tcW w:w="16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101.DEF *</w:t>
            </w:r>
          </w:p>
        </w:tc>
        <w:tc>
          <w:tcPr>
            <w:tcW w:w="16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675"/>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60" w:type="dxa"/>
            <w:vAlign w:val="bottom"/>
            <w:gridSpan w:val="5"/>
          </w:tcPr>
          <w:p>
            <w:pPr>
              <w:spacing w:after="0"/>
              <w:rPr>
                <w:sz w:val="24"/>
                <w:szCs w:val="24"/>
                <w:color w:val="auto"/>
              </w:rPr>
            </w:pPr>
          </w:p>
        </w:tc>
        <w:tc>
          <w:tcPr>
            <w:tcW w:w="6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gridSpan w:val="2"/>
            <w:vMerge w:val="restart"/>
            <w:shd w:val="clear" w:color="auto" w:fill="CC0000"/>
          </w:tcPr>
          <w:p>
            <w:pPr>
              <w:jc w:val="right"/>
              <w:ind w:right="180"/>
              <w:spacing w:after="0"/>
              <w:rPr>
                <w:sz w:val="20"/>
                <w:szCs w:val="20"/>
                <w:color w:val="auto"/>
              </w:rPr>
            </w:pPr>
            <w:r>
              <w:rPr>
                <w:rFonts w:ascii="Times New Roman" w:cs="Times New Roman" w:eastAsia="Times New Roman" w:hAnsi="Times New Roman"/>
                <w:sz w:val="18"/>
                <w:szCs w:val="18"/>
                <w:color w:val="FFFFFF"/>
              </w:rPr>
              <w:t>96</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gridSpan w:val="2"/>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80" w:type="dxa"/>
            <w:vAlign w:val="bottom"/>
          </w:tcPr>
          <w:p>
            <w:pPr>
              <w:jc w:val="right"/>
              <w:ind w:right="2308"/>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tc>
        <w:tc>
          <w:tcPr>
            <w:tcW w:w="306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2880" w:type="dxa"/>
            <w:vAlign w:val="bottom"/>
          </w:tcPr>
          <w:p>
            <w:pPr>
              <w:jc w:val="right"/>
              <w:ind w:right="2308"/>
              <w:spacing w:after="0"/>
              <w:rPr>
                <w:sz w:val="20"/>
                <w:szCs w:val="20"/>
                <w:color w:val="auto"/>
              </w:rPr>
            </w:pPr>
            <w:r>
              <w:rPr>
                <w:rFonts w:ascii="Times New Roman" w:cs="Times New Roman" w:eastAsia="Times New Roman" w:hAnsi="Times New Roman"/>
                <w:sz w:val="14"/>
                <w:szCs w:val="14"/>
                <w:b w:val="1"/>
                <w:bCs w:val="1"/>
                <w:u w:val="single" w:color="auto"/>
                <w:color w:val="auto"/>
                <w:w w:val="96"/>
              </w:rPr>
              <w:t>Number</w:t>
            </w: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0"/>
        <w:spacing w:after="0"/>
        <w:tabs>
          <w:tab w:leader="none" w:pos="1340" w:val="left"/>
        </w:tabs>
        <w:rPr>
          <w:sz w:val="20"/>
          <w:szCs w:val="20"/>
          <w:color w:val="auto"/>
        </w:rPr>
      </w:pPr>
      <w:r>
        <w:rPr>
          <w:rFonts w:ascii="Times New Roman" w:cs="Times New Roman" w:eastAsia="Times New Roman" w:hAnsi="Times New Roman"/>
          <w:sz w:val="18"/>
          <w:szCs w:val="18"/>
          <w:color w:val="auto"/>
        </w:rPr>
        <w:t>101.LAB *</w:t>
      </w:r>
      <w:r>
        <w:rPr>
          <w:sz w:val="20"/>
          <w:szCs w:val="20"/>
          <w:color w:val="auto"/>
        </w:rPr>
        <w:tab/>
      </w:r>
      <w:r>
        <w:rPr>
          <w:rFonts w:ascii="Times New Roman" w:cs="Times New Roman" w:eastAsia="Times New Roman" w:hAnsi="Times New Roman"/>
          <w:sz w:val="17"/>
          <w:szCs w:val="17"/>
          <w:color w:val="auto"/>
        </w:rPr>
        <w:t>Inline XBRL Taxonomy Extension Label Linkbase.</w:t>
      </w:r>
    </w:p>
    <w:p>
      <w:pPr>
        <w:spacing w:after="0" w:line="77"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8"/>
          <w:szCs w:val="18"/>
          <w:color w:val="auto"/>
        </w:rPr>
        <w:t>101.PRE *</w:t>
      </w:r>
      <w:r>
        <w:rPr>
          <w:sz w:val="20"/>
          <w:szCs w:val="20"/>
          <w:color w:val="auto"/>
        </w:rPr>
        <w:tab/>
      </w:r>
      <w:r>
        <w:rPr>
          <w:rFonts w:ascii="Times New Roman" w:cs="Times New Roman" w:eastAsia="Times New Roman" w:hAnsi="Times New Roman"/>
          <w:sz w:val="17"/>
          <w:szCs w:val="17"/>
          <w:color w:val="auto"/>
        </w:rPr>
        <w:t>Inline XBRL Taxonomy Extension Presentation Linkbase.</w:t>
      </w:r>
    </w:p>
    <w:p>
      <w:pPr>
        <w:spacing w:after="0" w:line="77" w:lineRule="exact"/>
        <w:rPr>
          <w:sz w:val="20"/>
          <w:szCs w:val="20"/>
          <w:color w:val="auto"/>
        </w:rPr>
      </w:pPr>
    </w:p>
    <w:p>
      <w:pPr>
        <w:ind w:left="800"/>
        <w:spacing w:after="0"/>
        <w:tabs>
          <w:tab w:leader="none" w:pos="134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77" w:lineRule="exact"/>
        <w:rPr>
          <w:sz w:val="20"/>
          <w:szCs w:val="20"/>
          <w:color w:val="auto"/>
        </w:rPr>
      </w:pPr>
    </w:p>
    <w:p>
      <w:pPr>
        <w:ind w:left="1360" w:hanging="245"/>
        <w:spacing w:after="0"/>
        <w:tabs>
          <w:tab w:leader="none" w:pos="1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rFonts w:ascii="Times New Roman" w:cs="Times New Roman" w:eastAsia="Times New Roman" w:hAnsi="Times New Roman"/>
          <w:sz w:val="18"/>
          <w:szCs w:val="18"/>
          <w:color w:val="auto"/>
        </w:rPr>
      </w:pPr>
    </w:p>
    <w:p>
      <w:pPr>
        <w:ind w:left="1360" w:hanging="335"/>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6" w:lineRule="exact"/>
        <w:rPr>
          <w:rFonts w:ascii="Times New Roman" w:cs="Times New Roman" w:eastAsia="Times New Roman" w:hAnsi="Times New Roman"/>
          <w:sz w:val="18"/>
          <w:szCs w:val="18"/>
          <w:color w:val="auto"/>
        </w:rPr>
      </w:pPr>
    </w:p>
    <w:p>
      <w:pPr>
        <w:ind w:left="1360" w:hanging="425"/>
        <w:spacing w:after="0" w:line="237"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The registrant agrees to furnish supplementally to the Commission a copy of any omitted schedules upon request.</w:t>
      </w:r>
    </w:p>
    <w:p>
      <w:pPr>
        <w:spacing w:after="0" w:line="64" w:lineRule="exact"/>
        <w:rPr>
          <w:sz w:val="20"/>
          <w:szCs w:val="20"/>
          <w:color w:val="auto"/>
        </w:rPr>
      </w:pPr>
    </w:p>
    <w:p>
      <w:pPr>
        <w:ind w:left="1100"/>
        <w:spacing w:after="0"/>
        <w:tabs>
          <w:tab w:leader="none" w:pos="1340" w:val="left"/>
        </w:tabs>
        <w:rPr>
          <w:sz w:val="20"/>
          <w:szCs w:val="20"/>
          <w:color w:val="auto"/>
        </w:rPr>
      </w:pPr>
      <w:r>
        <w:rPr>
          <w:rFonts w:ascii="Times New Roman" w:cs="Times New Roman" w:eastAsia="Times New Roman" w:hAnsi="Times New Roman"/>
          <w:sz w:val="18"/>
          <w:szCs w:val="18"/>
          <w:color w:val="auto"/>
        </w:rPr>
        <w:t>+</w:t>
        <w:tab/>
        <w:t>This exhibit is a management contract or compensatory plan or arrangement.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FFFF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bookmarkStart w:id="97" w:name="page98"/>
    <w:bookmarkEnd w:id="97"/>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INC.</w:t>
            </w:r>
          </w:p>
        </w:tc>
      </w:tr>
      <w:tr>
        <w:trPr>
          <w:trHeight w:val="4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Mario Harik</w:t>
            </w:r>
          </w:p>
        </w:tc>
      </w:tr>
      <w:tr>
        <w:trPr>
          <w:trHeight w:val="218"/>
        </w:trPr>
        <w:tc>
          <w:tcPr>
            <w:tcW w:w="74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Mario Harik</w:t>
            </w:r>
          </w:p>
        </w:tc>
      </w:t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Wismans</w:t>
            </w:r>
          </w:p>
        </w:tc>
      </w:tr>
      <w:tr>
        <w:trPr>
          <w:trHeight w:val="218"/>
        </w:trPr>
        <w:tc>
          <w:tcPr>
            <w:tcW w:w="74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Wismans</w:t>
            </w:r>
          </w:p>
        </w:tc>
      </w:t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61" w:lineRule="exact"/>
        <w:rPr>
          <w:sz w:val="20"/>
          <w:szCs w:val="20"/>
          <w:color w:val="auto"/>
        </w:rPr>
      </w:pPr>
    </w:p>
    <w:p>
      <w:pPr>
        <w:ind w:left="2060"/>
        <w:spacing w:after="0"/>
        <w:tabs>
          <w:tab w:leader="none" w:pos="6680" w:val="left"/>
          <w:tab w:leader="none" w:pos="996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Mario Harik</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Mario Harik</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jc w:val="center"/>
              <w:ind w:right="1090"/>
              <w:spacing w:after="0" w:line="196"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Kyle Wismans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Kyle Wismans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0" w:type="dxa"/>
            <w:vAlign w:val="bottom"/>
            <w:gridSpan w:val="2"/>
          </w:tcPr>
          <w:p>
            <w:pPr>
              <w:jc w:val="center"/>
              <w:ind w:right="990"/>
              <w:spacing w:after="0" w:line="196" w:lineRule="exact"/>
              <w:rPr>
                <w:sz w:val="20"/>
                <w:szCs w:val="20"/>
                <w:color w:val="auto"/>
              </w:rPr>
            </w:pPr>
            <w:r>
              <w:rPr>
                <w:rFonts w:ascii="Times New Roman" w:cs="Times New Roman" w:eastAsia="Times New Roman" w:hAnsi="Times New Roman"/>
                <w:sz w:val="18"/>
                <w:szCs w:val="18"/>
                <w:color w:val="auto"/>
                <w:w w:val="99"/>
              </w:rPr>
              <w:t>Chief Accounting Officer</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8"/>
                <w:szCs w:val="18"/>
                <w:color w:val="auto"/>
                <w:w w:val="99"/>
              </w:rPr>
              <w:t>/s/ Christopher Brown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Christopher Brown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Allison Landry</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9"/>
              </w:rPr>
              <w:t>Vice Chair of the Board of Directors</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Allison Landry</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7"/>
              </w:rPr>
              <w:t>/s/ Johnny C. Taylor, Jr.</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Johnny C. Taylor, Jr.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Bella Allaire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Bella Allaire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J. Wes Frye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 Wes Frye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Michael G. Jesselson</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Michael G. Jesselson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Irene Moshouris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5, 2026</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Irene Moshouris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98</w:t>
            </w:r>
          </w:p>
        </w:tc>
        <w:tc>
          <w:tcPr>
            <w:tcW w:w="100" w:type="dxa"/>
            <w:vAlign w:val="bottom"/>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shd w:val="clear" w:color="auto" w:fill="CC0000"/>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shd w:val="clear" w:color="auto" w:fill="CC0000"/>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Bradley S. Jacobs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Chairman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14,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Special Advisor Agreement</w:t>
      </w:r>
    </w:p>
    <w:p>
      <w:pPr>
        <w:spacing w:after="0" w:line="24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This letter agreement between you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and XPO, Inc. (together with its successors and assigns,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will act as an amendment to the Employment Agreement between you and the Company dated as of September 13, 2022 (as amended from time to time,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2"/>
          <w:szCs w:val="22"/>
          <w:color w:val="auto"/>
        </w:rPr>
        <w:t>The Company appreciates your desire to cease being Executive Chairman and a member of its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willingness to provide support during a transitional period. As a result, the Company agrees that your role as Executive Chairman will end on December 31, 2025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 after which you agree to continue employment in a non-executive capacity as Special Advisor through June 30, 2026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on the Transition Date, you are resigning from the Board.</w:t>
      </w:r>
    </w:p>
    <w:p>
      <w:pPr>
        <w:spacing w:after="0" w:line="26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The role of Special Advisor will be a part-time role, you will report to the Board and you will not be an executive officer. Your compensation during the Transition Period will be consistent with the terms of the Employment Agreement, as more fully set forth on Exhibit A hereto. The other terms and conditions set forth on Exhibit A are incorporated by reference herein. The parties agree that no further notice is required regarding cessation of employment under the Employment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Thank you for your dedicated service to the Company.</w:t>
      </w:r>
    </w:p>
    <w:p>
      <w:pPr>
        <w:spacing w:after="0" w:line="200" w:lineRule="exact"/>
        <w:rPr>
          <w:sz w:val="20"/>
          <w:szCs w:val="20"/>
          <w:color w:val="auto"/>
        </w:rPr>
      </w:pPr>
    </w:p>
    <w:p>
      <w:pPr>
        <w:spacing w:after="0" w:line="29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XPO, Inc.</w:t>
      </w:r>
    </w:p>
    <w:p>
      <w:pPr>
        <w:spacing w:after="0" w:line="200" w:lineRule="exact"/>
        <w:rPr>
          <w:sz w:val="20"/>
          <w:szCs w:val="20"/>
          <w:color w:val="auto"/>
        </w:rPr>
      </w:pPr>
    </w:p>
    <w:p>
      <w:pPr>
        <w:spacing w:after="0" w:line="27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By: /s/ Carolyn 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-13970</wp:posOffset>
            </wp:positionV>
            <wp:extent cx="12649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8">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 Carolyn Roach</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Title: CHRO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17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9">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Bradley S. Jacobs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39"/>
          </w:cols>
          <w:pgMar w:left="320" w:top="1422" w:right="1440"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86"/>
        </w:trPr>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Exhibit A - Transition Terms</w:t>
            </w:r>
          </w:p>
        </w:tc>
        <w:tc>
          <w:tcPr>
            <w:tcW w:w="0" w:type="dxa"/>
            <w:vAlign w:val="bottom"/>
          </w:tcPr>
          <w:p>
            <w:pPr>
              <w:spacing w:after="0"/>
              <w:rPr>
                <w:sz w:val="1"/>
                <w:szCs w:val="1"/>
                <w:color w:val="auto"/>
              </w:rPr>
            </w:pPr>
          </w:p>
        </w:tc>
      </w:tr>
      <w:tr>
        <w:trPr>
          <w:trHeight w:val="231"/>
        </w:trPr>
        <w:tc>
          <w:tcPr>
            <w:tcW w:w="2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40" w:type="dxa"/>
            <w:vAlign w:val="bottom"/>
            <w:tcBorders>
              <w:left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22"/>
                <w:szCs w:val="22"/>
                <w:b w:val="1"/>
                <w:bCs w:val="1"/>
                <w:color w:val="auto"/>
              </w:rPr>
              <w:t>Provision</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320" w:type="dxa"/>
            <w:vAlign w:val="bottom"/>
            <w:tcBorders>
              <w:bottom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right w:val="single" w:sz="8" w:color="auto"/>
            </w:tcBorders>
          </w:tcPr>
          <w:p>
            <w:pPr>
              <w:ind w:left="1380"/>
              <w:spacing w:after="0" w:line="223" w:lineRule="exact"/>
              <w:rPr>
                <w:sz w:val="20"/>
                <w:szCs w:val="20"/>
                <w:color w:val="auto"/>
              </w:rPr>
            </w:pPr>
            <w:r>
              <w:rPr>
                <w:rFonts w:ascii="Times New Roman" w:cs="Times New Roman" w:eastAsia="Times New Roman" w:hAnsi="Times New Roman"/>
                <w:sz w:val="22"/>
                <w:szCs w:val="22"/>
                <w:b w:val="1"/>
                <w:bCs w:val="1"/>
                <w:color w:val="auto"/>
              </w:rPr>
              <w:t>Compensation</w:t>
            </w:r>
          </w:p>
        </w:tc>
        <w:tc>
          <w:tcPr>
            <w:tcW w:w="60" w:type="dxa"/>
            <w:vAlign w:val="bottom"/>
          </w:tcPr>
          <w:p>
            <w:pPr>
              <w:spacing w:after="0"/>
              <w:rPr>
                <w:sz w:val="19"/>
                <w:szCs w:val="19"/>
                <w:color w:val="auto"/>
              </w:rPr>
            </w:pPr>
          </w:p>
        </w:tc>
        <w:tc>
          <w:tcPr>
            <w:tcW w:w="8360" w:type="dxa"/>
            <w:vAlign w:val="bottom"/>
            <w:tcBorders>
              <w:right w:val="single" w:sz="8" w:color="auto"/>
            </w:tcBorders>
            <w:gridSpan w:val="7"/>
          </w:tcPr>
          <w:p>
            <w:pPr>
              <w:spacing w:after="0" w:line="223" w:lineRule="exact"/>
              <w:rPr>
                <w:sz w:val="20"/>
                <w:szCs w:val="20"/>
                <w:color w:val="auto"/>
              </w:rPr>
            </w:pPr>
            <w:r>
              <w:rPr>
                <w:rFonts w:ascii="Times New Roman" w:cs="Times New Roman" w:eastAsia="Times New Roman" w:hAnsi="Times New Roman"/>
                <w:sz w:val="22"/>
                <w:szCs w:val="22"/>
                <w:color w:val="auto"/>
              </w:rPr>
              <w:t>Base Salary: Salary continues to be $600,000 on an annualized basis</w:t>
            </w:r>
          </w:p>
        </w:tc>
        <w:tc>
          <w:tcPr>
            <w:tcW w:w="0" w:type="dxa"/>
            <w:vAlign w:val="bottom"/>
          </w:tcPr>
          <w:p>
            <w:pPr>
              <w:spacing w:after="0"/>
              <w:rPr>
                <w:sz w:val="1"/>
                <w:szCs w:val="1"/>
                <w:color w:val="auto"/>
              </w:rPr>
            </w:pPr>
          </w:p>
        </w:tc>
      </w:tr>
      <w:tr>
        <w:trPr>
          <w:trHeight w:val="2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During Transition Period</w:t>
            </w: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840" w:type="dxa"/>
            <w:vAlign w:val="bottom"/>
            <w:tcBorders>
              <w:left w:val="single" w:sz="8" w:color="auto"/>
              <w:right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8360" w:type="dxa"/>
            <w:vAlign w:val="bottom"/>
            <w:tcBorders>
              <w:right w:val="single" w:sz="8" w:color="auto"/>
            </w:tcBorders>
            <w:gridSpan w:val="7"/>
            <w:vMerge w:val="restart"/>
          </w:tcPr>
          <w:p>
            <w:pPr>
              <w:spacing w:after="0"/>
              <w:rPr>
                <w:sz w:val="20"/>
                <w:szCs w:val="20"/>
                <w:color w:val="auto"/>
              </w:rPr>
            </w:pPr>
            <w:r>
              <w:rPr>
                <w:rFonts w:ascii="Times New Roman" w:cs="Times New Roman" w:eastAsia="Times New Roman" w:hAnsi="Times New Roman"/>
                <w:sz w:val="22"/>
                <w:szCs w:val="22"/>
                <w:color w:val="auto"/>
                <w:w w:val="98"/>
              </w:rPr>
              <w:t>2025 Bonus: Executive will remain eligible to receive his full 2025 bonus on existing criteria at</w:t>
            </w:r>
          </w:p>
        </w:tc>
        <w:tc>
          <w:tcPr>
            <w:tcW w:w="0" w:type="dxa"/>
            <w:vAlign w:val="bottom"/>
          </w:tcPr>
          <w:p>
            <w:pPr>
              <w:spacing w:after="0"/>
              <w:rPr>
                <w:sz w:val="1"/>
                <w:szCs w:val="1"/>
                <w:color w:val="auto"/>
              </w:rPr>
            </w:pPr>
          </w:p>
        </w:tc>
      </w:tr>
      <w:tr>
        <w:trPr>
          <w:trHeight w:val="200"/>
        </w:trPr>
        <w:tc>
          <w:tcPr>
            <w:tcW w:w="28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right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the regular bonus payment time</w:t>
            </w:r>
          </w:p>
        </w:tc>
        <w:tc>
          <w:tcPr>
            <w:tcW w:w="0" w:type="dxa"/>
            <w:vAlign w:val="bottom"/>
          </w:tcPr>
          <w:p>
            <w:pPr>
              <w:spacing w:after="0"/>
              <w:rPr>
                <w:sz w:val="1"/>
                <w:szCs w:val="1"/>
                <w:color w:val="auto"/>
              </w:rPr>
            </w:pPr>
          </w:p>
        </w:tc>
      </w:tr>
      <w:tr>
        <w:trPr>
          <w:trHeight w:val="420"/>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w w:val="98"/>
              </w:rPr>
              <w:t>2026 Bonus: Target bonus continues to be 150% of salary, pro-rated for 6-month service period</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and paid at target level</w:t>
            </w:r>
          </w:p>
        </w:tc>
        <w:tc>
          <w:tcPr>
            <w:tcW w:w="0" w:type="dxa"/>
            <w:vAlign w:val="bottom"/>
          </w:tcPr>
          <w:p>
            <w:pPr>
              <w:spacing w:after="0"/>
              <w:rPr>
                <w:sz w:val="1"/>
                <w:szCs w:val="1"/>
                <w:color w:val="auto"/>
              </w:rPr>
            </w:pPr>
          </w:p>
        </w:tc>
      </w:tr>
      <w:tr>
        <w:trPr>
          <w:trHeight w:val="231"/>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right w:val="single" w:sz="8" w:color="auto"/>
            </w:tcBorders>
          </w:tcPr>
          <w:p>
            <w:pPr>
              <w:ind w:left="1380"/>
              <w:spacing w:after="0" w:line="223" w:lineRule="exact"/>
              <w:rPr>
                <w:sz w:val="20"/>
                <w:szCs w:val="20"/>
                <w:color w:val="auto"/>
              </w:rPr>
            </w:pPr>
            <w:r>
              <w:rPr>
                <w:rFonts w:ascii="Times New Roman" w:cs="Times New Roman" w:eastAsia="Times New Roman" w:hAnsi="Times New Roman"/>
                <w:sz w:val="22"/>
                <w:szCs w:val="22"/>
                <w:b w:val="1"/>
                <w:bCs w:val="1"/>
                <w:color w:val="auto"/>
              </w:rPr>
              <w:t>Treatment of</w:t>
            </w:r>
          </w:p>
        </w:tc>
        <w:tc>
          <w:tcPr>
            <w:tcW w:w="60" w:type="dxa"/>
            <w:vAlign w:val="bottom"/>
          </w:tcPr>
          <w:p>
            <w:pPr>
              <w:spacing w:after="0"/>
              <w:rPr>
                <w:sz w:val="19"/>
                <w:szCs w:val="19"/>
                <w:color w:val="auto"/>
              </w:rPr>
            </w:pPr>
          </w:p>
        </w:tc>
        <w:tc>
          <w:tcPr>
            <w:tcW w:w="8360" w:type="dxa"/>
            <w:vAlign w:val="bottom"/>
            <w:tcBorders>
              <w:right w:val="single" w:sz="8" w:color="auto"/>
            </w:tcBorders>
            <w:gridSpan w:val="7"/>
          </w:tcPr>
          <w:p>
            <w:pPr>
              <w:spacing w:after="0" w:line="223" w:lineRule="exact"/>
              <w:rPr>
                <w:sz w:val="20"/>
                <w:szCs w:val="20"/>
                <w:color w:val="auto"/>
              </w:rPr>
            </w:pPr>
            <w:r>
              <w:rPr>
                <w:rFonts w:ascii="Times New Roman" w:cs="Times New Roman" w:eastAsia="Times New Roman" w:hAnsi="Times New Roman"/>
                <w:sz w:val="22"/>
                <w:szCs w:val="22"/>
                <w:color w:val="auto"/>
              </w:rPr>
              <w:t>Executive currently holds the RSUs and PSUs set forth on Schedule I, which will be treated as</w:t>
            </w:r>
          </w:p>
        </w:tc>
        <w:tc>
          <w:tcPr>
            <w:tcW w:w="0" w:type="dxa"/>
            <w:vAlign w:val="bottom"/>
          </w:tcPr>
          <w:p>
            <w:pPr>
              <w:spacing w:after="0"/>
              <w:rPr>
                <w:sz w:val="1"/>
                <w:szCs w:val="1"/>
                <w:color w:val="auto"/>
              </w:rPr>
            </w:pPr>
          </w:p>
        </w:tc>
      </w:tr>
      <w:tr>
        <w:trPr>
          <w:trHeight w:val="323"/>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Existing Equity Awards</w:t>
            </w:r>
          </w:p>
        </w:tc>
        <w:tc>
          <w:tcPr>
            <w:tcW w:w="60" w:type="dxa"/>
            <w:vAlign w:val="bottom"/>
          </w:tcPr>
          <w:p>
            <w:pPr>
              <w:spacing w:after="0"/>
              <w:rPr>
                <w:sz w:val="24"/>
                <w:szCs w:val="24"/>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follows:</w:t>
            </w:r>
          </w:p>
        </w:tc>
        <w:tc>
          <w:tcPr>
            <w:tcW w:w="0" w:type="dxa"/>
            <w:vAlign w:val="bottom"/>
          </w:tcPr>
          <w:p>
            <w:pPr>
              <w:spacing w:after="0"/>
              <w:rPr>
                <w:sz w:val="1"/>
                <w:szCs w:val="1"/>
                <w:color w:val="auto"/>
              </w:rPr>
            </w:pPr>
          </w:p>
        </w:tc>
      </w:tr>
      <w:tr>
        <w:trPr>
          <w:trHeight w:val="433"/>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tcBorders>
              <w:right w:val="single" w:sz="8" w:color="auto"/>
            </w:tcBorders>
            <w:gridSpan w:val="6"/>
          </w:tcPr>
          <w:p>
            <w:pPr>
              <w:ind w:left="220"/>
              <w:spacing w:after="0"/>
              <w:rPr>
                <w:sz w:val="20"/>
                <w:szCs w:val="20"/>
                <w:color w:val="auto"/>
              </w:rPr>
            </w:pPr>
            <w:r>
              <w:rPr>
                <w:rFonts w:ascii="Times New Roman" w:cs="Times New Roman" w:eastAsia="Times New Roman" w:hAnsi="Times New Roman"/>
                <w:sz w:val="22"/>
                <w:szCs w:val="22"/>
                <w:color w:val="auto"/>
              </w:rPr>
              <w:t>•  Full Vesting By Mutual Agreement. The parties agree that the transactions hereunder</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7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will result in full vesting pursuant to Section 6(e) of the Employment Agreement, and</w:t>
            </w:r>
          </w:p>
        </w:tc>
        <w:tc>
          <w:tcPr>
            <w:tcW w:w="0" w:type="dxa"/>
            <w:vAlign w:val="bottom"/>
          </w:tcPr>
          <w:p>
            <w:pPr>
              <w:spacing w:after="0"/>
              <w:rPr>
                <w:sz w:val="1"/>
                <w:szCs w:val="1"/>
                <w:color w:val="auto"/>
              </w:rPr>
            </w:pPr>
          </w:p>
        </w:tc>
      </w:tr>
      <w:tr>
        <w:trPr>
          <w:trHeight w:val="256"/>
        </w:trPr>
        <w:tc>
          <w:tcPr>
            <w:tcW w:w="28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7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so on the Transition Date, Executive will become fully vested in all outstanding RSUs</w:t>
            </w: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7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and PSUs (with PSUs becoming vested at the projected actual performance level</w:t>
            </w:r>
          </w:p>
        </w:tc>
        <w:tc>
          <w:tcPr>
            <w:tcW w:w="0" w:type="dxa"/>
            <w:vAlign w:val="bottom"/>
          </w:tcPr>
          <w:p>
            <w:pPr>
              <w:spacing w:after="0"/>
              <w:rPr>
                <w:sz w:val="1"/>
                <w:szCs w:val="1"/>
                <w:color w:val="auto"/>
              </w:rPr>
            </w:pPr>
          </w:p>
        </w:tc>
      </w:tr>
      <w:tr>
        <w:trPr>
          <w:trHeight w:val="270"/>
        </w:trPr>
        <w:tc>
          <w:tcPr>
            <w:tcW w:w="28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7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determined by shortening the performance period to December 31, 2025 where</w:t>
            </w: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7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applicable and settled as soon as practical after such determination but in any event no</w:t>
            </w:r>
          </w:p>
        </w:tc>
        <w:tc>
          <w:tcPr>
            <w:tcW w:w="0" w:type="dxa"/>
            <w:vAlign w:val="bottom"/>
          </w:tcPr>
          <w:p>
            <w:pPr>
              <w:spacing w:after="0"/>
              <w:rPr>
                <w:sz w:val="1"/>
                <w:szCs w:val="1"/>
                <w:color w:val="auto"/>
              </w:rPr>
            </w:pPr>
          </w:p>
        </w:tc>
      </w:tr>
      <w:tr>
        <w:trPr>
          <w:trHeight w:val="282"/>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later than January 31, 2026), subject to Section 6(f) of the Employment Agreement.</w:t>
            </w:r>
          </w:p>
        </w:tc>
        <w:tc>
          <w:tcPr>
            <w:tcW w:w="0" w:type="dxa"/>
            <w:vAlign w:val="bottom"/>
          </w:tcPr>
          <w:p>
            <w:pPr>
              <w:spacing w:after="0"/>
              <w:rPr>
                <w:sz w:val="1"/>
                <w:szCs w:val="1"/>
                <w:color w:val="auto"/>
              </w:rPr>
            </w:pPr>
          </w:p>
        </w:tc>
      </w:tr>
      <w:tr>
        <w:trPr>
          <w:trHeight w:val="231"/>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ind w:left="1380"/>
              <w:spacing w:after="0" w:line="196" w:lineRule="exact"/>
              <w:rPr>
                <w:sz w:val="20"/>
                <w:szCs w:val="20"/>
                <w:color w:val="auto"/>
              </w:rPr>
            </w:pPr>
            <w:r>
              <w:rPr>
                <w:rFonts w:ascii="Times New Roman" w:cs="Times New Roman" w:eastAsia="Times New Roman" w:hAnsi="Times New Roman"/>
                <w:sz w:val="22"/>
                <w:szCs w:val="22"/>
                <w:b w:val="1"/>
                <w:bCs w:val="1"/>
                <w:color w:val="auto"/>
              </w:rPr>
              <w:t>Benefits and</w:t>
            </w:r>
          </w:p>
        </w:tc>
        <w:tc>
          <w:tcPr>
            <w:tcW w:w="60" w:type="dxa"/>
            <w:vAlign w:val="bottom"/>
          </w:tcPr>
          <w:p>
            <w:pPr>
              <w:spacing w:after="0"/>
              <w:rPr>
                <w:sz w:val="17"/>
                <w:szCs w:val="17"/>
                <w:color w:val="auto"/>
              </w:rPr>
            </w:pPr>
          </w:p>
        </w:tc>
        <w:tc>
          <w:tcPr>
            <w:tcW w:w="8360" w:type="dxa"/>
            <w:vAlign w:val="bottom"/>
            <w:tcBorders>
              <w:right w:val="single" w:sz="8" w:color="auto"/>
            </w:tcBorders>
            <w:gridSpan w:val="7"/>
          </w:tcPr>
          <w:p>
            <w:pPr>
              <w:spacing w:after="0" w:line="196" w:lineRule="exact"/>
              <w:rPr>
                <w:sz w:val="20"/>
                <w:szCs w:val="20"/>
                <w:color w:val="auto"/>
              </w:rPr>
            </w:pPr>
            <w:r>
              <w:rPr>
                <w:rFonts w:ascii="Times New Roman" w:cs="Times New Roman" w:eastAsia="Times New Roman" w:hAnsi="Times New Roman"/>
                <w:sz w:val="22"/>
                <w:szCs w:val="22"/>
                <w:color w:val="auto"/>
              </w:rPr>
              <w:t>Executive will continue to be eligible to participate in all applicable benefit plans during the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60" w:type="dxa"/>
            <w:vAlign w:val="bottom"/>
          </w:tcPr>
          <w:p>
            <w:pPr>
              <w:spacing w:after="0"/>
              <w:rPr>
                <w:sz w:val="18"/>
                <w:szCs w:val="18"/>
                <w:color w:val="auto"/>
              </w:rPr>
            </w:pPr>
          </w:p>
        </w:tc>
        <w:tc>
          <w:tcPr>
            <w:tcW w:w="8360" w:type="dxa"/>
            <w:vAlign w:val="bottom"/>
            <w:tcBorders>
              <w:right w:val="single" w:sz="8" w:color="auto"/>
            </w:tcBorders>
            <w:gridSpan w:val="7"/>
          </w:tcPr>
          <w:p>
            <w:pPr>
              <w:spacing w:after="0" w:line="216" w:lineRule="exact"/>
              <w:rPr>
                <w:sz w:val="20"/>
                <w:szCs w:val="20"/>
                <w:color w:val="auto"/>
              </w:rPr>
            </w:pPr>
            <w:r>
              <w:rPr>
                <w:rFonts w:ascii="Times New Roman" w:cs="Times New Roman" w:eastAsia="Times New Roman" w:hAnsi="Times New Roman"/>
                <w:sz w:val="22"/>
                <w:szCs w:val="22"/>
                <w:color w:val="auto"/>
              </w:rPr>
              <w:t>Term and to receive reimbursement of business expenses and administrative support, each as</w:t>
            </w:r>
          </w:p>
        </w:tc>
        <w:tc>
          <w:tcPr>
            <w:tcW w:w="0" w:type="dxa"/>
            <w:vAlign w:val="bottom"/>
          </w:tcPr>
          <w:p>
            <w:pPr>
              <w:spacing w:after="0"/>
              <w:rPr>
                <w:sz w:val="1"/>
                <w:szCs w:val="1"/>
                <w:color w:val="auto"/>
              </w:rPr>
            </w:pPr>
          </w:p>
        </w:tc>
      </w:tr>
      <w:tr>
        <w:trPr>
          <w:trHeight w:val="283"/>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3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provided under the Employment Agreement.</w:t>
            </w:r>
          </w:p>
        </w:tc>
        <w:tc>
          <w:tcPr>
            <w:tcW w:w="0" w:type="dxa"/>
            <w:vAlign w:val="bottom"/>
          </w:tcPr>
          <w:p>
            <w:pPr>
              <w:spacing w:after="0"/>
              <w:rPr>
                <w:sz w:val="1"/>
                <w:szCs w:val="1"/>
                <w:color w:val="auto"/>
              </w:rPr>
            </w:pPr>
          </w:p>
        </w:tc>
      </w:tr>
      <w:tr>
        <w:trPr>
          <w:trHeight w:val="197"/>
        </w:trPr>
        <w:tc>
          <w:tcPr>
            <w:tcW w:w="2840" w:type="dxa"/>
            <w:vAlign w:val="bottom"/>
            <w:tcBorders>
              <w:left w:val="single" w:sz="8" w:color="auto"/>
              <w:right w:val="single" w:sz="8" w:color="auto"/>
            </w:tcBorders>
          </w:tcPr>
          <w:p>
            <w:pPr>
              <w:ind w:left="1380"/>
              <w:spacing w:after="0" w:line="197" w:lineRule="exact"/>
              <w:rPr>
                <w:sz w:val="20"/>
                <w:szCs w:val="20"/>
                <w:color w:val="auto"/>
              </w:rPr>
            </w:pPr>
            <w:r>
              <w:rPr>
                <w:rFonts w:ascii="Times New Roman" w:cs="Times New Roman" w:eastAsia="Times New Roman" w:hAnsi="Times New Roman"/>
                <w:sz w:val="22"/>
                <w:szCs w:val="22"/>
                <w:b w:val="1"/>
                <w:bCs w:val="1"/>
                <w:color w:val="auto"/>
              </w:rPr>
              <w:t>Attorney Fees</w:t>
            </w:r>
          </w:p>
        </w:tc>
        <w:tc>
          <w:tcPr>
            <w:tcW w:w="60" w:type="dxa"/>
            <w:vAlign w:val="bottom"/>
          </w:tcPr>
          <w:p>
            <w:pPr>
              <w:spacing w:after="0"/>
              <w:rPr>
                <w:sz w:val="17"/>
                <w:szCs w:val="17"/>
                <w:color w:val="auto"/>
              </w:rPr>
            </w:pPr>
          </w:p>
        </w:tc>
        <w:tc>
          <w:tcPr>
            <w:tcW w:w="8360" w:type="dxa"/>
            <w:vAlign w:val="bottom"/>
            <w:tcBorders>
              <w:right w:val="single" w:sz="8" w:color="auto"/>
            </w:tcBorders>
            <w:gridSpan w:val="7"/>
          </w:tcPr>
          <w:p>
            <w:pPr>
              <w:spacing w:after="0" w:line="197" w:lineRule="exact"/>
              <w:rPr>
                <w:sz w:val="20"/>
                <w:szCs w:val="20"/>
                <w:color w:val="auto"/>
              </w:rPr>
            </w:pPr>
            <w:r>
              <w:rPr>
                <w:rFonts w:ascii="Times New Roman" w:cs="Times New Roman" w:eastAsia="Times New Roman" w:hAnsi="Times New Roman"/>
                <w:sz w:val="22"/>
                <w:szCs w:val="22"/>
                <w:color w:val="auto"/>
                <w:w w:val="99"/>
              </w:rPr>
              <w:t>The Company will pay Executive’s reasonable attorney fees in connection with these transition</w:t>
            </w:r>
          </w:p>
        </w:tc>
        <w:tc>
          <w:tcPr>
            <w:tcW w:w="0" w:type="dxa"/>
            <w:vAlign w:val="bottom"/>
          </w:tcPr>
          <w:p>
            <w:pPr>
              <w:spacing w:after="0"/>
              <w:rPr>
                <w:sz w:val="1"/>
                <w:szCs w:val="1"/>
                <w:color w:val="auto"/>
              </w:rPr>
            </w:pPr>
          </w:p>
        </w:tc>
      </w:tr>
      <w:tr>
        <w:trPr>
          <w:trHeight w:val="283"/>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3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arrangements.</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right w:val="single" w:sz="8" w:color="auto"/>
            </w:tcBorders>
          </w:tcPr>
          <w:p>
            <w:pPr>
              <w:ind w:left="1380"/>
              <w:spacing w:after="0" w:line="224" w:lineRule="exact"/>
              <w:rPr>
                <w:sz w:val="20"/>
                <w:szCs w:val="20"/>
                <w:color w:val="auto"/>
              </w:rPr>
            </w:pPr>
            <w:r>
              <w:rPr>
                <w:rFonts w:ascii="Times New Roman" w:cs="Times New Roman" w:eastAsia="Times New Roman" w:hAnsi="Times New Roman"/>
                <w:sz w:val="22"/>
                <w:szCs w:val="22"/>
                <w:b w:val="1"/>
                <w:bCs w:val="1"/>
                <w:color w:val="auto"/>
              </w:rPr>
              <w:t>Update of</w:t>
            </w:r>
          </w:p>
        </w:tc>
        <w:tc>
          <w:tcPr>
            <w:tcW w:w="60" w:type="dxa"/>
            <w:vAlign w:val="bottom"/>
          </w:tcPr>
          <w:p>
            <w:pPr>
              <w:spacing w:after="0"/>
              <w:rPr>
                <w:sz w:val="19"/>
                <w:szCs w:val="19"/>
                <w:color w:val="auto"/>
              </w:rPr>
            </w:pPr>
          </w:p>
        </w:tc>
        <w:tc>
          <w:tcPr>
            <w:tcW w:w="8360" w:type="dxa"/>
            <w:vAlign w:val="bottom"/>
            <w:tcBorders>
              <w:right w:val="single" w:sz="8" w:color="auto"/>
            </w:tcBorders>
            <w:gridSpan w:val="7"/>
          </w:tcPr>
          <w:p>
            <w:pPr>
              <w:spacing w:after="0" w:line="224" w:lineRule="exact"/>
              <w:rPr>
                <w:sz w:val="20"/>
                <w:szCs w:val="20"/>
                <w:color w:val="auto"/>
              </w:rPr>
            </w:pPr>
            <w:r>
              <w:rPr>
                <w:rFonts w:ascii="Times New Roman" w:cs="Times New Roman" w:eastAsia="Times New Roman" w:hAnsi="Times New Roman"/>
                <w:sz w:val="22"/>
                <w:szCs w:val="22"/>
                <w:color w:val="auto"/>
              </w:rPr>
              <w:t>See Schedule II for an update to certain provisions in the Employment Agreement (the</w:t>
            </w:r>
          </w:p>
        </w:tc>
        <w:tc>
          <w:tcPr>
            <w:tcW w:w="0" w:type="dxa"/>
            <w:vAlign w:val="bottom"/>
          </w:tcPr>
          <w:p>
            <w:pPr>
              <w:spacing w:after="0"/>
              <w:rPr>
                <w:sz w:val="1"/>
                <w:szCs w:val="1"/>
                <w:color w:val="auto"/>
              </w:rPr>
            </w:pPr>
          </w:p>
        </w:tc>
      </w:tr>
      <w:tr>
        <w:trPr>
          <w:trHeight w:val="270"/>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Non-Compete Provisions</w:t>
            </w:r>
          </w:p>
        </w:tc>
        <w:tc>
          <w:tcPr>
            <w:tcW w:w="60" w:type="dxa"/>
            <w:vAlign w:val="bottom"/>
          </w:tcPr>
          <w:p>
            <w:pPr>
              <w:spacing w:after="0"/>
              <w:rPr>
                <w:sz w:val="23"/>
                <w:szCs w:val="23"/>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“Revised Non-Compete”). In addition, the full amount of the Non-Compete Payment (as</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4"/>
            <w:shd w:val="clear" w:color="auto" w:fill="000000"/>
          </w:tcPr>
          <w:p>
            <w:pPr>
              <w:spacing w:after="0" w:line="20" w:lineRule="exact"/>
              <w:rPr>
                <w:sz w:val="1"/>
                <w:szCs w:val="1"/>
                <w:color w:val="auto"/>
              </w:rPr>
            </w:pPr>
          </w:p>
        </w:tc>
        <w:tc>
          <w:tcPr>
            <w:tcW w:w="63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w w:val="98"/>
              </w:rPr>
              <w:t>defined in the Employment Agreement) shall be paid in a lump sum at the end of the Transition</w:t>
            </w:r>
          </w:p>
        </w:tc>
        <w:tc>
          <w:tcPr>
            <w:tcW w:w="0" w:type="dxa"/>
            <w:vAlign w:val="bottom"/>
          </w:tcPr>
          <w:p>
            <w:pPr>
              <w:spacing w:after="0"/>
              <w:rPr>
                <w:sz w:val="1"/>
                <w:szCs w:val="1"/>
                <w:color w:val="auto"/>
              </w:rPr>
            </w:pPr>
          </w:p>
        </w:tc>
      </w:tr>
      <w:tr>
        <w:trPr>
          <w:trHeight w:val="282"/>
        </w:trPr>
        <w:tc>
          <w:tcPr>
            <w:tcW w:w="28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Period to the extent permitted by Section 11(m) of the Employment Agreement.</w:t>
            </w:r>
          </w:p>
        </w:tc>
        <w:tc>
          <w:tcPr>
            <w:tcW w:w="0" w:type="dxa"/>
            <w:vAlign w:val="bottom"/>
          </w:tcPr>
          <w:p>
            <w:pPr>
              <w:spacing w:after="0"/>
              <w:rPr>
                <w:sz w:val="1"/>
                <w:szCs w:val="1"/>
                <w:color w:val="auto"/>
              </w:rPr>
            </w:pPr>
          </w:p>
        </w:tc>
      </w:tr>
      <w:tr>
        <w:trPr>
          <w:trHeight w:val="231"/>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60"/>
          </w:cols>
          <w:pgMar w:left="320" w:top="1418" w:right="31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Outstanding Equity Awards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39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Award</w:t>
            </w:r>
          </w:p>
        </w:tc>
        <w:tc>
          <w:tcPr>
            <w:tcW w:w="36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36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Units Outstanding</w:t>
            </w:r>
          </w:p>
        </w:tc>
      </w:tr>
      <w:tr>
        <w:trPr>
          <w:trHeight w:val="287"/>
        </w:trPr>
        <w:tc>
          <w:tcPr>
            <w:tcW w:w="396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(at target)</w:t>
            </w:r>
          </w:p>
        </w:tc>
      </w:tr>
      <w:tr>
        <w:trPr>
          <w:trHeight w:val="290"/>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Restricted Stock Unit Award</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6, 2023</w:t>
            </w:r>
          </w:p>
        </w:tc>
        <w:tc>
          <w:tcPr>
            <w:tcW w:w="3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9,193</w:t>
            </w:r>
          </w:p>
        </w:tc>
      </w:tr>
      <w:tr>
        <w:trPr>
          <w:trHeight w:val="177"/>
        </w:trPr>
        <w:tc>
          <w:tcPr>
            <w:tcW w:w="3960" w:type="dxa"/>
            <w:vAlign w:val="bottom"/>
            <w:tcBorders>
              <w:left w:val="single" w:sz="8" w:color="auto"/>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r>
        <w:trPr>
          <w:trHeight w:val="277"/>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Performance-Based Restricted Stock Unit</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6, 2023</w:t>
            </w:r>
          </w:p>
        </w:tc>
        <w:tc>
          <w:tcPr>
            <w:tcW w:w="3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110,314</w:t>
            </w:r>
          </w:p>
        </w:tc>
      </w:tr>
      <w:tr>
        <w:trPr>
          <w:trHeight w:val="282"/>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Award</w:t>
            </w:r>
          </w:p>
        </w:tc>
        <w:tc>
          <w:tcPr>
            <w:tcW w:w="366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r>
      <w:tr>
        <w:trPr>
          <w:trHeight w:val="177"/>
        </w:trPr>
        <w:tc>
          <w:tcPr>
            <w:tcW w:w="3960" w:type="dxa"/>
            <w:vAlign w:val="bottom"/>
            <w:tcBorders>
              <w:left w:val="single" w:sz="8" w:color="auto"/>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r>
        <w:trPr>
          <w:trHeight w:val="289"/>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Restricted Stock Unit Award</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1, 2024</w:t>
            </w:r>
          </w:p>
        </w:tc>
        <w:tc>
          <w:tcPr>
            <w:tcW w:w="3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5,528</w:t>
            </w:r>
          </w:p>
        </w:tc>
      </w:tr>
      <w:tr>
        <w:trPr>
          <w:trHeight w:val="177"/>
        </w:trPr>
        <w:tc>
          <w:tcPr>
            <w:tcW w:w="3960" w:type="dxa"/>
            <w:vAlign w:val="bottom"/>
            <w:tcBorders>
              <w:left w:val="single" w:sz="8" w:color="auto"/>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r>
        <w:trPr>
          <w:trHeight w:val="277"/>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Performance-Based Restricted Stock Unit</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1, 2024</w:t>
            </w:r>
          </w:p>
        </w:tc>
        <w:tc>
          <w:tcPr>
            <w:tcW w:w="3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33,167</w:t>
            </w:r>
          </w:p>
        </w:tc>
      </w:tr>
      <w:tr>
        <w:trPr>
          <w:trHeight w:val="282"/>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Award</w:t>
            </w:r>
          </w:p>
        </w:tc>
        <w:tc>
          <w:tcPr>
            <w:tcW w:w="366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r>
      <w:tr>
        <w:trPr>
          <w:trHeight w:val="177"/>
        </w:trPr>
        <w:tc>
          <w:tcPr>
            <w:tcW w:w="3960" w:type="dxa"/>
            <w:vAlign w:val="bottom"/>
            <w:tcBorders>
              <w:left w:val="single" w:sz="8" w:color="auto"/>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r>
        <w:trPr>
          <w:trHeight w:val="289"/>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Restricted Stock Unit Award</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3, 2025</w:t>
            </w:r>
          </w:p>
        </w:tc>
        <w:tc>
          <w:tcPr>
            <w:tcW w:w="3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10,869</w:t>
            </w:r>
          </w:p>
        </w:tc>
      </w:tr>
      <w:tr>
        <w:trPr>
          <w:trHeight w:val="177"/>
        </w:trPr>
        <w:tc>
          <w:tcPr>
            <w:tcW w:w="3960" w:type="dxa"/>
            <w:vAlign w:val="bottom"/>
            <w:tcBorders>
              <w:left w:val="single" w:sz="8" w:color="auto"/>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r>
        <w:trPr>
          <w:trHeight w:val="277"/>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Performance-Based Restricted Stock Unit</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3, 2025</w:t>
            </w:r>
          </w:p>
        </w:tc>
        <w:tc>
          <w:tcPr>
            <w:tcW w:w="3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43,475</w:t>
            </w:r>
          </w:p>
        </w:tc>
      </w:tr>
      <w:tr>
        <w:trPr>
          <w:trHeight w:val="282"/>
        </w:trPr>
        <w:tc>
          <w:tcPr>
            <w:tcW w:w="39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Award</w:t>
            </w:r>
          </w:p>
        </w:tc>
        <w:tc>
          <w:tcPr>
            <w:tcW w:w="366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r>
      <w:tr>
        <w:trPr>
          <w:trHeight w:val="177"/>
        </w:trPr>
        <w:tc>
          <w:tcPr>
            <w:tcW w:w="3960" w:type="dxa"/>
            <w:vAlign w:val="bottom"/>
            <w:tcBorders>
              <w:left w:val="single" w:sz="8" w:color="auto"/>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1418" w:right="319" w:bottom="1440" w:gutter="0" w:footer="0" w:header="0"/>
        </w:sectPr>
      </w:pPr>
    </w:p>
    <w:bookmarkStart w:id="102" w:name="page103"/>
    <w:bookmarkEnd w:id="10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to Non-Compete Provision</w:t>
      </w:r>
    </w:p>
    <w:p>
      <w:pPr>
        <w:spacing w:after="0" w:line="2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7(b)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Employee agrees that Employee will not, during the Term and during the Non-Compete Period, within the Restricted Area, directly or indirectly (whether or not for compensation) become employed by, engage in business with, serve as an agent or consultant to, become an employee, partner, member, principal, stockholder or other owner (other than a holder of less than 1% of the outstanding voting shares of any publicly held company) of, any Competitive Business. For purposes of this Agreement,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mean any individual, corporation, limited liability company, partnership, unincorporated organization, trust, joint venture or other entity that engages primarily in the provision of less-than-truckload transportation services. “</w:t>
      </w:r>
      <w:r>
        <w:rPr>
          <w:rFonts w:ascii="Times New Roman" w:cs="Times New Roman" w:eastAsia="Times New Roman" w:hAnsi="Times New Roman"/>
          <w:sz w:val="22"/>
          <w:szCs w:val="22"/>
          <w:u w:val="single" w:color="auto"/>
          <w:color w:val="auto"/>
        </w:rPr>
        <w:t>Restricted Area</w:t>
      </w:r>
      <w:r>
        <w:rPr>
          <w:rFonts w:ascii="Times New Roman" w:cs="Times New Roman" w:eastAsia="Times New Roman" w:hAnsi="Times New Roman"/>
          <w:sz w:val="22"/>
          <w:szCs w:val="22"/>
          <w:color w:val="auto"/>
        </w:rPr>
        <w:t>” means Canada and any State of the United States and any other country in which the Company or any Company Entity does business or any other country in which any Company client is located during the Term or the Restricted Period. “</w:t>
      </w:r>
      <w:r>
        <w:rPr>
          <w:rFonts w:ascii="Times New Roman" w:cs="Times New Roman" w:eastAsia="Times New Roman" w:hAnsi="Times New Roman"/>
          <w:sz w:val="22"/>
          <w:szCs w:val="22"/>
          <w:u w:val="single" w:color="auto"/>
          <w:color w:val="auto"/>
        </w:rPr>
        <w:t>Non-Compete Period</w:t>
      </w:r>
      <w:r>
        <w:rPr>
          <w:rFonts w:ascii="Times New Roman" w:cs="Times New Roman" w:eastAsia="Times New Roman" w:hAnsi="Times New Roman"/>
          <w:sz w:val="22"/>
          <w:szCs w:val="22"/>
          <w:color w:val="auto"/>
        </w:rPr>
        <w:t>” shall mean, subject to Section 8(c) below, three years following termination of Employee’s employment for any reason and, for the avoidance of doubt, regardless of whether such termination is before, upon or after expiration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320" w:top="1418" w:right="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692150</wp:posOffset>
            </wp:positionV>
            <wp:extent cx="702945" cy="2571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0">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Insider Trading Policy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November 3, 2025</w:t>
      </w:r>
    </w:p>
    <w:p>
      <w:pPr>
        <w:spacing w:after="0" w:line="200" w:lineRule="exact"/>
        <w:rPr>
          <w:sz w:val="20"/>
          <w:szCs w:val="20"/>
          <w:color w:val="auto"/>
        </w:rPr>
      </w:pPr>
    </w:p>
    <w:p>
      <w:pPr>
        <w:spacing w:after="0" w:line="299" w:lineRule="exact"/>
        <w:rPr>
          <w:sz w:val="20"/>
          <w:szCs w:val="20"/>
          <w:color w:val="auto"/>
        </w:rPr>
      </w:pPr>
    </w:p>
    <w:p>
      <w:pPr>
        <w:ind w:right="300"/>
        <w:spacing w:after="0" w:line="272" w:lineRule="auto"/>
        <w:rPr>
          <w:sz w:val="20"/>
          <w:szCs w:val="20"/>
          <w:color w:val="auto"/>
        </w:rPr>
      </w:pPr>
      <w:r>
        <w:rPr>
          <w:rFonts w:ascii="Arial" w:cs="Arial" w:eastAsia="Arial" w:hAnsi="Arial"/>
          <w:sz w:val="19"/>
          <w:szCs w:val="19"/>
          <w:color w:val="auto"/>
        </w:rPr>
        <w:t>Directors, officers and employees of XPO, Inc. and its subsidiaries (collectively, the “Company”) are likely from time to time to become aware of material nonpublic information about the Company. In view of the legal prohibitions on trading in securities while in possession of material non-public information concerning an issuer, and the significant interest of the Company in preventing even the appearance of trading impropriety, the Company has adopted this Insider Trading Policy (this “Policy”).</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 xml:space="preserve">The general prohibitions of this Policy apply to the Company’s directors, officers and employees (collectively, “Covered Individuals”), while the restrictions set forth under Section 2, Section 3 and Section 4 apply only to the Company’s directors, executive officers, and certain employees as designated from time to time by the Company. If you are unsure whether you are subject to the restrictions set forth under Section 2, Section 3 and Section 4, please contact the Trading Compliance Team by e-mail at </w:t>
      </w:r>
      <w:r>
        <w:rPr>
          <w:rFonts w:ascii="Arial" w:cs="Arial" w:eastAsia="Arial" w:hAnsi="Arial"/>
          <w:sz w:val="20"/>
          <w:szCs w:val="20"/>
          <w:u w:val="single" w:color="auto"/>
          <w:color w:val="0563C1"/>
        </w:rPr>
        <w:t>stocktrading@xpo.com</w:t>
      </w:r>
      <w:r>
        <w:rPr>
          <w:rFonts w:ascii="Arial" w:cs="Arial" w:eastAsia="Arial" w:hAnsi="Arial"/>
          <w:sz w:val="20"/>
          <w:szCs w:val="20"/>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Trade Company Securities when Aware of Material Non-Public Information</w:t>
      </w:r>
    </w:p>
    <w:p>
      <w:pPr>
        <w:spacing w:after="0" w:line="256"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No Covered Individual may purchase or sell securities of the Company (including in connection with the exercise of stock options) when he/she is aware of material non-public information about the Company.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“Material” information means information relating to the Company, its business operations or securities that, if made public, would likely affect the market price of the Company’s securities, or would likely be considered important by a reasonable investor in determining whether to buy, sell or hold such securities. Material information is not limited to historical facts but may also include projections and forecasts. Examples of information ordinarily deemed “material” include, without limitation:</w:t>
      </w:r>
    </w:p>
    <w:p>
      <w:pPr>
        <w:spacing w:after="0" w:line="211"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earnings information and financial results;</w:t>
      </w:r>
    </w:p>
    <w:p>
      <w:pPr>
        <w:spacing w:after="0" w:line="30"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Company strategic plans;</w:t>
      </w: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corporate objectives;</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significant mergers, acquisitions or divestitures;</w:t>
      </w:r>
    </w:p>
    <w:p>
      <w:pPr>
        <w:spacing w:after="0" w:line="12"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finance transactions;</w:t>
      </w: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senior management or control of the Company;</w:t>
      </w:r>
    </w:p>
    <w:p>
      <w:pPr>
        <w:spacing w:after="0" w:line="12"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accounting methods or policies;</w:t>
      </w: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award or loss of a significant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6459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5" w:lineRule="exact"/>
        <w:rPr>
          <w:sz w:val="20"/>
          <w:szCs w:val="20"/>
          <w:color w:val="auto"/>
        </w:rPr>
      </w:pPr>
    </w:p>
    <w:p>
      <w:pPr>
        <w:ind w:right="20" w:firstLine="8"/>
        <w:spacing w:after="0" w:line="242" w:lineRule="auto"/>
        <w:tabs>
          <w:tab w:leader="none" w:pos="10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For purposes of this Policy, purchases and sales of securities by a Covered Individual include, without limitation, any purchase or sale (i) by, for or at the direction of such Covered Individual, (ii) entered into by any person or entity directly or indirectly controlled by such Covered Individual, such as a family member who does not reside with such Covered Individual but whose transactions in securities are directed by the Covered Individual or are subject to the Covered Individual’s influence or control, and (iii) by, for or at the direction of any member of such Covered Individual’s family who resides with such Covered Individual or any person residing in the same household as such Covered Individual.</w:t>
      </w:r>
    </w:p>
    <w:p>
      <w:pPr>
        <w:sectPr>
          <w:pgSz w:w="11900" w:h="16838" w:orient="portrait"/>
          <w:cols w:equalWidth="0" w:num="1">
            <w:col w:w="11240"/>
          </w:cols>
          <w:pgMar w:left="320" w:top="115" w:right="339" w:bottom="1440" w:gutter="0" w:footer="0" w:header="0"/>
        </w:sectPr>
      </w:pPr>
    </w:p>
    <w:bookmarkStart w:id="104" w:name="page105"/>
    <w:bookmarkEnd w:id="104"/>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cybersecurity risks and incidents, including vulnerabilities and breaches;</w:t>
      </w:r>
    </w:p>
    <w:p>
      <w:pPr>
        <w:spacing w:after="0" w:line="30"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offerings of Company securities; and</w:t>
      </w: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actual or threatened major litigation or governmental investigations.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information becomes “public” once it has been broadly disseminated to and digested by the public (generally by means of a Company press release).</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color w:val="auto"/>
        </w:rPr>
        <w:t>Trading while in possession of such information may only commence on the third trading day that follows two full trading days after such information has been publicly disclosed. For example, if information is publicly released prior to market open on a Monday, trading may not commence until Wednesday.</w:t>
      </w:r>
    </w:p>
    <w:p>
      <w:pPr>
        <w:spacing w:after="0" w:line="213"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Additionally, Covered Individuals may not trade in the securities of other companies as to which they have obtained material non-public information by reason of their employment with the Company.</w:t>
      </w:r>
    </w:p>
    <w:p>
      <w:pPr>
        <w:spacing w:after="0" w:line="196"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“Securities” mean any equity securities issued by the Company, including any subsidiary of the Company, any parent of the Company or any subsidiary of any parent of the Company, that are registered under Section 12 of the Securities Exchange Act of 1934, as amended (the “Exchange Act”).</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This restriction continues to apply to transactions in Company securities even after termination of a Covered Individual’s service with the Company. If a Covered Individual possesses material, non-public information when his or her service to the Company terminates, the Covered Individual may not trade in Company securities until that information has become public or is no longer material.</w:t>
      </w:r>
    </w:p>
    <w:p>
      <w:pPr>
        <w:spacing w:after="0" w:line="195" w:lineRule="exact"/>
        <w:rPr>
          <w:sz w:val="20"/>
          <w:szCs w:val="20"/>
          <w:color w:val="auto"/>
        </w:rPr>
      </w:pPr>
    </w:p>
    <w:p>
      <w:pPr>
        <w:ind w:right="240"/>
        <w:spacing w:after="0" w:line="286" w:lineRule="auto"/>
        <w:rPr>
          <w:sz w:val="20"/>
          <w:szCs w:val="20"/>
          <w:color w:val="auto"/>
        </w:rPr>
      </w:pPr>
      <w:r>
        <w:rPr>
          <w:rFonts w:ascii="Arial" w:cs="Arial" w:eastAsia="Arial" w:hAnsi="Arial"/>
          <w:sz w:val="20"/>
          <w:szCs w:val="20"/>
          <w:color w:val="auto"/>
        </w:rPr>
        <w:t>For purposes of this Policy, the Company considers that bona fide gifts of the securities of the Company are exempt from this Policy.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Company Securities Is Prohibited Except During a Trading Window and After Obtaining Pre-Clearance</w:t>
      </w:r>
    </w:p>
    <w:p>
      <w:pPr>
        <w:spacing w:after="0" w:line="25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 xml:space="preserve">In view of the Company’s significant interest in avoiding even the appearance of trading impropriety, Covered Individuals may purchase or sell securities of the Company (i) only during the Company’s quarterly trading window </w:t>
      </w:r>
      <w:r>
        <w:rPr>
          <w:rFonts w:ascii="Arial" w:cs="Arial" w:eastAsia="Arial" w:hAnsi="Arial"/>
          <w:sz w:val="20"/>
          <w:szCs w:val="20"/>
          <w:b w:val="1"/>
          <w:bCs w:val="1"/>
          <w:u w:val="single" w:color="auto"/>
          <w:color w:val="auto"/>
        </w:rPr>
        <w:t>and</w:t>
      </w:r>
      <w:r>
        <w:rPr>
          <w:rFonts w:ascii="Arial" w:cs="Arial" w:eastAsia="Arial" w:hAnsi="Arial"/>
          <w:sz w:val="20"/>
          <w:szCs w:val="20"/>
          <w:color w:val="auto"/>
        </w:rPr>
        <w:t xml:space="preserve"> (ii) only after obtaining pre-clearance from the Company’s Chief Compliance Officer or his or her designee. These trading restrictions apply to all purchases or sales of Company securities, including open-market purchases and sales of the Company’s common stock, as well as transactions involving derivatives of the Company’s securities, including exercises of stock options. Please note, however, that it is the Covered Individual’s sole responsibility to comply with all applicable securities laws. The Company does not undertake any obligation with respect to a Covered Individual’s securities law compliance by virtue of pre-clearing any particular trade, and the Company urges each Covered Individual to consult his or her legal counsel before engaging in transactions. Any advice regarding pre-clearance of a proposed transaction will relate solely to the restraints imposed by law and will not constitute advice regarding the investment aspects of any such trade. Clearance of a proposed transaction is valid for </w:t>
      </w:r>
      <w:r>
        <w:rPr>
          <w:rFonts w:ascii="Arial" w:cs="Arial" w:eastAsia="Arial" w:hAnsi="Arial"/>
          <w:sz w:val="20"/>
          <w:szCs w:val="20"/>
          <w:b w:val="1"/>
          <w:bCs w:val="1"/>
          <w:u w:val="single" w:color="auto"/>
          <w:color w:val="auto"/>
        </w:rPr>
        <w:t>five (5) business days</w:t>
      </w:r>
      <w:r>
        <w:rPr>
          <w:rFonts w:ascii="Arial" w:cs="Arial" w:eastAsia="Arial" w:hAnsi="Arial"/>
          <w:sz w:val="20"/>
          <w:szCs w:val="20"/>
          <w:color w:val="auto"/>
        </w:rPr>
        <w:t>. If the transaction order is not completed within that period, clearance of the transaction must be re-requested. If clearance is denied, the fact of such denial must be kept confidential by the Covered Individual requesting such 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414" w:right="399" w:bottom="1440" w:gutter="0" w:footer="0" w:header="0"/>
        </w:sectPr>
      </w:pPr>
    </w:p>
    <w:bookmarkStart w:id="105" w:name="page106"/>
    <w:bookmarkEnd w:id="105"/>
    <w:p>
      <w:pPr>
        <w:spacing w:after="0" w:line="217" w:lineRule="exact"/>
        <w:rPr>
          <w:sz w:val="20"/>
          <w:szCs w:val="20"/>
          <w:color w:val="auto"/>
        </w:rPr>
      </w:pPr>
    </w:p>
    <w:p>
      <w:pPr>
        <w:ind w:right="200"/>
        <w:spacing w:after="0" w:line="252" w:lineRule="auto"/>
        <w:rPr>
          <w:sz w:val="20"/>
          <w:szCs w:val="20"/>
          <w:color w:val="auto"/>
        </w:rPr>
      </w:pPr>
      <w:r>
        <w:rPr>
          <w:rFonts w:ascii="Arial" w:cs="Arial" w:eastAsia="Arial" w:hAnsi="Arial"/>
          <w:sz w:val="20"/>
          <w:szCs w:val="20"/>
          <w:color w:val="auto"/>
        </w:rPr>
        <w:t>The quarterly trading window for the Company opens on the third trading day following the day that the Company publicly announces its quarterly or annual financial results and the trading window closes two weeks before the end of such quarter. However, even during this trading window, a Covered Individual who is in possession of any material non-public information should not trade in the Company's securities until the information has been made publicly available or is no longer material. In addition, from time to time, other types of material non-public information regarding the Company (such as negotiation of mergers, acquisitions or dispositions, or investigation and assessment of cybersecurity incidents) may be pending and not be publicly disclosed. While such material non-public information is pending, the Company may impose special blackout periods during which Covered Individuals are prohibited from trading in the Company's securities. If the Company imposes a special blackout period, it will notify the Covered Individuals affected.</w:t>
      </w:r>
    </w:p>
    <w:p>
      <w:pPr>
        <w:spacing w:after="0" w:line="203" w:lineRule="exact"/>
        <w:rPr>
          <w:sz w:val="20"/>
          <w:szCs w:val="20"/>
          <w:color w:val="auto"/>
        </w:rPr>
      </w:pPr>
    </w:p>
    <w:p>
      <w:pPr>
        <w:ind w:left="660" w:right="680"/>
        <w:spacing w:after="0" w:line="296" w:lineRule="auto"/>
        <w:rPr>
          <w:sz w:val="20"/>
          <w:szCs w:val="20"/>
          <w:color w:val="auto"/>
        </w:rPr>
      </w:pPr>
      <w:r>
        <w:rPr>
          <w:rFonts w:ascii="Arial" w:cs="Arial" w:eastAsia="Arial" w:hAnsi="Arial"/>
          <w:sz w:val="20"/>
          <w:szCs w:val="20"/>
          <w:b w:val="1"/>
          <w:bCs w:val="1"/>
          <w:i w:val="1"/>
          <w:iCs w:val="1"/>
          <w:color w:val="auto"/>
        </w:rPr>
        <w:t xml:space="preserve">Pre-clearance for all trades or transactions described in this section must be obtained by contacting the Trading Compliance Team by e-mail at </w:t>
      </w:r>
      <w:r>
        <w:rPr>
          <w:rFonts w:ascii="Arial" w:cs="Arial" w:eastAsia="Arial" w:hAnsi="Arial"/>
          <w:sz w:val="20"/>
          <w:szCs w:val="20"/>
          <w:b w:val="1"/>
          <w:bCs w:val="1"/>
          <w:i w:val="1"/>
          <w:iCs w:val="1"/>
          <w:u w:val="single" w:color="auto"/>
          <w:color w:val="0563C1"/>
        </w:rPr>
        <w:t>stocktrading@xpo.com</w:t>
      </w:r>
      <w:r>
        <w:rPr>
          <w:rFonts w:ascii="Arial" w:cs="Arial" w:eastAsia="Arial" w:hAnsi="Arial"/>
          <w:sz w:val="20"/>
          <w:szCs w:val="20"/>
          <w:b w:val="1"/>
          <w:bCs w:val="1"/>
          <w:color w:val="auto"/>
        </w:rPr>
        <w:t>.</w:t>
      </w:r>
    </w:p>
    <w:p>
      <w:pPr>
        <w:spacing w:after="0" w:line="162" w:lineRule="exact"/>
        <w:rPr>
          <w:sz w:val="20"/>
          <w:szCs w:val="20"/>
          <w:color w:val="auto"/>
        </w:rPr>
      </w:pPr>
    </w:p>
    <w:p>
      <w:pPr>
        <w:jc w:val="both"/>
        <w:ind w:right="60"/>
        <w:spacing w:after="0" w:line="282" w:lineRule="auto"/>
        <w:rPr>
          <w:sz w:val="20"/>
          <w:szCs w:val="20"/>
          <w:color w:val="auto"/>
        </w:rPr>
      </w:pPr>
      <w:r>
        <w:rPr>
          <w:rFonts w:ascii="Arial" w:cs="Arial" w:eastAsia="Arial" w:hAnsi="Arial"/>
          <w:sz w:val="19"/>
          <w:szCs w:val="19"/>
          <w:color w:val="auto"/>
        </w:rPr>
        <w:t>There are no exceptions to the policy of restricting trading to the quarterly trading window. Transactions that may be necessary or justifiable for independent reasons (such as the need to raise money for an emergency expenditure), or small transactions, are not excepted from this policy. The securities laws do not recognize any mitigating circumstances to insider trading liability.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256"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This Policy also applies to transactions by a Covered Individual in connection with the Company’s Employee Stock Purchase Plan (the “</w:t>
      </w:r>
      <w:r>
        <w:rPr>
          <w:rFonts w:ascii="Arial" w:cs="Arial" w:eastAsia="Arial" w:hAnsi="Arial"/>
          <w:sz w:val="20"/>
          <w:szCs w:val="20"/>
          <w:u w:val="single" w:color="auto"/>
          <w:color w:val="auto"/>
        </w:rPr>
        <w:t>ESPP</w:t>
      </w:r>
      <w:r>
        <w:rPr>
          <w:rFonts w:ascii="Arial" w:cs="Arial" w:eastAsia="Arial" w:hAnsi="Arial"/>
          <w:sz w:val="20"/>
          <w:szCs w:val="20"/>
          <w:color w:val="auto"/>
        </w:rPr>
        <w:t>”). For clarification purposes, in addition to the terms of the ESPP, please see below regarding enrollment, contribution changes and withdrawals from the ESPP:</w:t>
      </w:r>
    </w:p>
    <w:p>
      <w:pPr>
        <w:spacing w:after="0" w:line="20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 Covered Individual may enroll in the ESPP </w:t>
      </w:r>
      <w:r>
        <w:rPr>
          <w:rFonts w:ascii="Arial" w:cs="Arial" w:eastAsia="Arial" w:hAnsi="Arial"/>
          <w:sz w:val="20"/>
          <w:szCs w:val="20"/>
          <w:b w:val="1"/>
          <w:bCs w:val="1"/>
          <w:u w:val="single" w:color="auto"/>
          <w:color w:val="auto"/>
        </w:rPr>
        <w:t>only</w:t>
      </w:r>
      <w:r>
        <w:rPr>
          <w:rFonts w:ascii="Arial" w:cs="Arial" w:eastAsia="Arial" w:hAnsi="Arial"/>
          <w:sz w:val="20"/>
          <w:szCs w:val="20"/>
          <w:color w:val="auto"/>
        </w:rPr>
        <w:t xml:space="preserve"> during a quarterly trading window.</w:t>
      </w:r>
    </w:p>
    <w:p>
      <w:pPr>
        <w:spacing w:after="0" w:line="18" w:lineRule="exact"/>
        <w:rPr>
          <w:rFonts w:ascii="Times New Roman" w:cs="Times New Roman" w:eastAsia="Times New Roman" w:hAnsi="Times New Roman"/>
          <w:sz w:val="20"/>
          <w:szCs w:val="20"/>
          <w:color w:val="auto"/>
        </w:rPr>
      </w:pPr>
    </w:p>
    <w:p>
      <w:pPr>
        <w:ind w:left="660" w:right="340" w:hanging="328"/>
        <w:spacing w:after="0" w:line="276" w:lineRule="auto"/>
        <w:tabs>
          <w:tab w:leader="none" w:pos="648" w:val="left"/>
        </w:tabs>
        <w:numPr>
          <w:ilvl w:val="0"/>
          <w:numId w:val="2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If a Covered Individual is enrolled in the ESPP, the Covered Individual is permitted to change the contribution rate or withdraw from the ESPP </w:t>
      </w:r>
      <w:r>
        <w:rPr>
          <w:rFonts w:ascii="Arial" w:cs="Arial" w:eastAsia="Arial" w:hAnsi="Arial"/>
          <w:sz w:val="20"/>
          <w:szCs w:val="20"/>
          <w:b w:val="1"/>
          <w:bCs w:val="1"/>
          <w:u w:val="single" w:color="auto"/>
          <w:color w:val="auto"/>
        </w:rPr>
        <w:t>only</w:t>
      </w:r>
      <w:r>
        <w:rPr>
          <w:rFonts w:ascii="Arial" w:cs="Arial" w:eastAsia="Arial" w:hAnsi="Arial"/>
          <w:sz w:val="20"/>
          <w:szCs w:val="20"/>
          <w:color w:val="auto"/>
        </w:rPr>
        <w:t xml:space="preserve"> during a quarterly trading window.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Also, all securities purchased through the ESPP are subject to the terms of this Policy.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Plans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Securities and Exchange Commission (the “SEC”), has adopted a safe harbor rule, Rule 10b5-1, which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w:t>
      </w:r>
    </w:p>
    <w:p>
      <w:pPr>
        <w:spacing w:after="0" w:line="211" w:lineRule="exact"/>
        <w:rPr>
          <w:sz w:val="20"/>
          <w:szCs w:val="20"/>
          <w:color w:val="auto"/>
        </w:rPr>
      </w:pPr>
    </w:p>
    <w:p>
      <w:pPr>
        <w:ind w:right="440"/>
        <w:spacing w:after="0" w:line="286" w:lineRule="auto"/>
        <w:rPr>
          <w:sz w:val="20"/>
          <w:szCs w:val="20"/>
          <w:color w:val="auto"/>
        </w:rPr>
      </w:pPr>
      <w:r>
        <w:rPr>
          <w:rFonts w:ascii="Arial" w:cs="Arial" w:eastAsia="Arial" w:hAnsi="Arial"/>
          <w:sz w:val="20"/>
          <w:szCs w:val="20"/>
          <w:color w:val="auto"/>
        </w:rPr>
        <w:t>Rule 10b5-1 plans allow transactions for the account of an insider to occur during blackout periods or while the insider has material nonpublic information provided the insider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1440" w:right="459" w:bottom="1440" w:gutter="0" w:footer="0" w:header="0"/>
        </w:sectPr>
      </w:pPr>
    </w:p>
    <w:bookmarkStart w:id="106" w:name="page107"/>
    <w:bookmarkEnd w:id="106"/>
    <w:p>
      <w:pPr>
        <w:ind w:right="20"/>
        <w:spacing w:after="0" w:line="269" w:lineRule="auto"/>
        <w:rPr>
          <w:sz w:val="20"/>
          <w:szCs w:val="20"/>
          <w:color w:val="auto"/>
        </w:rPr>
      </w:pPr>
      <w:r>
        <w:rPr>
          <w:rFonts w:ascii="Arial" w:cs="Arial" w:eastAsia="Arial" w:hAnsi="Arial"/>
          <w:sz w:val="19"/>
          <w:szCs w:val="19"/>
          <w:color w:val="auto"/>
        </w:rPr>
        <w:t>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 Company will treat the creation, modification or termination of a pre-planned trading program or arrangement established to meet the requirements of Rule 10b5-1 as a transaction subject to the blackout period rules set forth this Policy. Transactions effected pursuant to a properly established Rule 10b5-1 plan however will not be subject to the blackout periods under this Policy.</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will treat the creation, modification or termination of a pre-planned trading program or arrangement established to meet the requirements of Rule 10b5-1 as a transaction subject to the approval of the Company at the time the plan is established, modified or terminated. Persons subject to the approval requirements should coordinate any such plans or arrangements with the Company’s Legal Department. Even though each transaction effected under a Rule 10b5-1 plan does not need to be approved, it nonetheless must be made in accordance with Rule 144 and must be reported on a Form 4 under Section 16 of the Exchange Act.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Pledge or Hold Company Securities in a Margin Account</w:t>
      </w:r>
    </w:p>
    <w:p>
      <w:pPr>
        <w:spacing w:after="0" w:line="256"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 xml:space="preserve">As a general matter, securities held in a margin account may be sold by the broker </w:t>
      </w:r>
      <w:r>
        <w:rPr>
          <w:rFonts w:ascii="Arial" w:cs="Arial" w:eastAsia="Arial" w:hAnsi="Arial"/>
          <w:sz w:val="20"/>
          <w:szCs w:val="20"/>
          <w:u w:val="single" w:color="auto"/>
          <w:color w:val="auto"/>
        </w:rPr>
        <w:t>without</w:t>
      </w:r>
      <w:r>
        <w:rPr>
          <w:rFonts w:ascii="Arial" w:cs="Arial" w:eastAsia="Arial" w:hAnsi="Arial"/>
          <w:sz w:val="20"/>
          <w:szCs w:val="20"/>
          <w:color w:val="auto"/>
        </w:rPr>
        <w:t xml:space="preserve"> the customer’s consent if the customer fails to meet a margin call. Similarly, securities pledged as collateral for a loan may be sold in foreclosure if the borrower defaults on the loan. Because a margin sale or foreclosure sale could occur at a time when a Covered Individual has material, nonpublic information or is otherwise not permitted to trade in Company securities, </w:t>
      </w:r>
      <w:r>
        <w:rPr>
          <w:rFonts w:ascii="Arial" w:cs="Arial" w:eastAsia="Arial" w:hAnsi="Arial"/>
          <w:sz w:val="20"/>
          <w:szCs w:val="20"/>
          <w:b w:val="1"/>
          <w:bCs w:val="1"/>
          <w:i w:val="1"/>
          <w:iCs w:val="1"/>
          <w:color w:val="auto"/>
        </w:rPr>
        <w:t>Covered Individuals are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prohibited from purchasing securities of the Company on margin, holding securities of the Company in a margin account or pledging Company securities as collateral for a loan.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Hedge or Engage in Certain Other Transactions</w:t>
      </w:r>
    </w:p>
    <w:p>
      <w:pPr>
        <w:spacing w:after="0" w:line="256" w:lineRule="exact"/>
        <w:rPr>
          <w:sz w:val="20"/>
          <w:szCs w:val="20"/>
          <w:color w:val="auto"/>
        </w:rPr>
      </w:pPr>
    </w:p>
    <w:p>
      <w:pPr>
        <w:ind w:right="300"/>
        <w:spacing w:after="0" w:line="263" w:lineRule="auto"/>
        <w:rPr>
          <w:sz w:val="20"/>
          <w:szCs w:val="20"/>
          <w:color w:val="auto"/>
        </w:rPr>
      </w:pPr>
      <w:r>
        <w:rPr>
          <w:rFonts w:ascii="Arial" w:cs="Arial" w:eastAsia="Arial" w:hAnsi="Arial"/>
          <w:sz w:val="20"/>
          <w:szCs w:val="20"/>
          <w:color w:val="auto"/>
        </w:rPr>
        <w:t xml:space="preserve">Hedging or monetization transactions can be accomplished through a number of possible mechanisms, including through the use of financial instruments such as prepaid variable forwards, equity swaps, collars and exchange funds. </w:t>
      </w:r>
      <w:r>
        <w:rPr>
          <w:rFonts w:ascii="Arial" w:cs="Arial" w:eastAsia="Arial" w:hAnsi="Arial"/>
          <w:sz w:val="20"/>
          <w:szCs w:val="20"/>
          <w:b w:val="1"/>
          <w:bCs w:val="1"/>
          <w:i w:val="1"/>
          <w:iCs w:val="1"/>
          <w:color w:val="auto"/>
        </w:rPr>
        <w:t>All hedging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transactions, including the foregoing or any other transactions that are designed to or have the effect of hedging or offsetting any decrease in the market value of equity securities, are prohibited.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Trade in Publicly-Traded Options on the Company’s Securities</w:t>
      </w:r>
    </w:p>
    <w:p>
      <w:pPr>
        <w:spacing w:after="0" w:line="256" w:lineRule="exact"/>
        <w:rPr>
          <w:sz w:val="20"/>
          <w:szCs w:val="20"/>
          <w:color w:val="auto"/>
        </w:rPr>
      </w:pPr>
    </w:p>
    <w:p>
      <w:pPr>
        <w:ind w:right="420"/>
        <w:spacing w:after="0" w:line="271" w:lineRule="auto"/>
        <w:rPr>
          <w:sz w:val="20"/>
          <w:szCs w:val="20"/>
          <w:color w:val="auto"/>
        </w:rPr>
      </w:pPr>
      <w:r>
        <w:rPr>
          <w:rFonts w:ascii="Arial" w:cs="Arial" w:eastAsia="Arial" w:hAnsi="Arial"/>
          <w:sz w:val="20"/>
          <w:szCs w:val="20"/>
          <w:color w:val="auto"/>
        </w:rPr>
        <w:t>Given the relatively short term of publicly-traded options, transactions in options may cause Covered Individuals to focus on short-term performance at the expense of the Company’s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4" w:right="359" w:bottom="1440" w:gutter="0" w:footer="0" w:header="0"/>
        </w:sectPr>
      </w:pPr>
    </w:p>
    <w:bookmarkStart w:id="107" w:name="page108"/>
    <w:bookmarkEnd w:id="107"/>
    <w:p>
      <w:pPr>
        <w:jc w:val="both"/>
        <w:ind w:right="680"/>
        <w:spacing w:after="0" w:line="282" w:lineRule="auto"/>
        <w:rPr>
          <w:sz w:val="20"/>
          <w:szCs w:val="20"/>
          <w:color w:val="auto"/>
        </w:rPr>
      </w:pPr>
      <w:r>
        <w:rPr>
          <w:rFonts w:ascii="Arial" w:cs="Arial" w:eastAsia="Arial" w:hAnsi="Arial"/>
          <w:sz w:val="19"/>
          <w:szCs w:val="19"/>
          <w:color w:val="auto"/>
        </w:rPr>
        <w:t>term objectives</w:t>
      </w:r>
      <w:r>
        <w:rPr>
          <w:rFonts w:ascii="Arial" w:cs="Arial" w:eastAsia="Arial" w:hAnsi="Arial"/>
          <w:sz w:val="19"/>
          <w:szCs w:val="19"/>
          <w:b w:val="1"/>
          <w:bCs w:val="1"/>
          <w:i w:val="1"/>
          <w:iCs w:val="1"/>
          <w:color w:val="auto"/>
        </w:rPr>
        <w:t>. Accordingly, Covered Individuals are prohibited from trading in put options, call options or other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derivative securities related to the Company’s securities, on an exchange or in any other organized market. </w:t>
      </w:r>
      <w:r>
        <w:rPr>
          <w:rFonts w:ascii="Arial" w:cs="Arial" w:eastAsia="Arial" w:hAnsi="Arial"/>
          <w:sz w:val="19"/>
          <w:szCs w:val="19"/>
          <w:color w:val="auto"/>
        </w:rPr>
        <w:t>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restriction does not apply to the grant or exercise of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director</w:t>
      </w:r>
      <w:r>
        <w:rPr>
          <w:rFonts w:ascii="Arial" w:cs="Arial" w:eastAsia="Arial" w:hAnsi="Arial"/>
          <w:sz w:val="19"/>
          <w:szCs w:val="19"/>
          <w:color w:val="auto"/>
        </w:rPr>
        <w:t xml:space="preserve"> stock options issued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Short-Sell the Company’s Securities</w:t>
      </w:r>
    </w:p>
    <w:p>
      <w:pPr>
        <w:spacing w:after="0" w:line="24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Short sales of Company securities (i.e., the sale of a security that the seller does not own) may evidence the seller’s expectation that the securities will decline in value, and therefore have the potential to signal to the market that the seller lacks confidence in the Company’s prospects. Short sales may also reduce a seller’s incentive to seek to improve the Company’s performance.</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Section 16(c) of the Exchange Act prohibits officers and directors from engaging in short sales. For these reasons, short sales of Company stock are prohibited by Covered Individuals.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Disclose Material Non-Public Information to Anyone Outside the Company for the Purpose of Trading</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In addition to the trading restrictions set forth above, Covered Individuals may not disclose or “tip” material information concerning the Company to an outsider. An outsider can include friends, business associates, a spouse or other family member. Both the tipper and the tippee can be held liable under federal securities laws for violations of this kind even when the tipper did not profit from the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Penalties for Violating Securities Laws or this Policy</w:t>
      </w:r>
    </w:p>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SEC and the Department of Justice actively enforce insider trading laws, including by actively monitoring trading activity. Federal law imposes heavy penalties on individuals who either buy or sell securities while in possession of material non-public information or pass the material non-public information along to others who use it to buy or sell securities. The penalties for insider trading apply with equal force whether trading or passing information is done to generate gains or avoid losses. Tippers can be subject to the same penalties and sanctions as the tippees even when the tipper did not profit from the transaction. Potential penalties include:</w:t>
      </w:r>
    </w:p>
    <w:p>
      <w:pPr>
        <w:spacing w:after="0" w:line="200" w:lineRule="exact"/>
        <w:rPr>
          <w:sz w:val="20"/>
          <w:szCs w:val="20"/>
          <w:color w:val="auto"/>
        </w:rPr>
      </w:pPr>
    </w:p>
    <w:p>
      <w:pPr>
        <w:ind w:left="660" w:right="60" w:hanging="328"/>
        <w:spacing w:after="0" w:line="262" w:lineRule="auto"/>
        <w:tabs>
          <w:tab w:leader="none" w:pos="648"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civil penalties of up to the greater of approximately $2.5 million or three times the amount of profit gained or loss avoided as a result of the unlawful action;</w:t>
      </w:r>
    </w:p>
    <w:p>
      <w:pPr>
        <w:ind w:left="640" w:hanging="308"/>
        <w:spacing w:after="0" w:line="238" w:lineRule="auto"/>
        <w:tabs>
          <w:tab w:leader="none" w:pos="64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a criminal fine of up to $5 million (no matter how small the profit);</w:t>
      </w: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a jail term of up to 20 years;</w:t>
      </w:r>
    </w:p>
    <w:p>
      <w:pPr>
        <w:spacing w:after="0" w:line="12"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private suits for damages equal to the profit gained or loss avoided; and</w:t>
      </w: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disgorgement of ill-gotten gains.</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In addition, the Company and any supervisor of a Company associate who trades with or tips material non-public information may face “controlling person” liability in the form of civil penalties of up to the greater of approximately $2.5 million or three times the amount of profit gained or loss avoided as a result of the unlawful action and criminal penalties of up to $25 million for the Company and up to $5 million for the individual supervisor(s).</w:t>
      </w:r>
    </w:p>
    <w:p>
      <w:pPr>
        <w:spacing w:after="0" w:line="195" w:lineRule="exact"/>
        <w:rPr>
          <w:sz w:val="20"/>
          <w:szCs w:val="20"/>
          <w:color w:val="auto"/>
        </w:rPr>
      </w:pPr>
    </w:p>
    <w:p>
      <w:pPr>
        <w:ind w:right="580"/>
        <w:spacing w:after="0" w:line="286" w:lineRule="auto"/>
        <w:rPr>
          <w:sz w:val="20"/>
          <w:szCs w:val="20"/>
          <w:color w:val="auto"/>
        </w:rPr>
      </w:pPr>
      <w:r>
        <w:rPr>
          <w:rFonts w:ascii="Arial" w:cs="Arial" w:eastAsia="Arial" w:hAnsi="Arial"/>
          <w:sz w:val="20"/>
          <w:szCs w:val="20"/>
          <w:color w:val="auto"/>
        </w:rPr>
        <w:t>Violations of this Policy by a Covered Individual may subject such person to disciplinary action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14" w:right="359" w:bottom="1440" w:gutter="0" w:footer="0" w:header="0"/>
        </w:sectPr>
      </w:pPr>
    </w:p>
    <w:bookmarkStart w:id="108" w:name="page109"/>
    <w:bookmarkEnd w:id="108"/>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Answer Questions by Outsiders Regarding the Company’s Business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From time to time, Covered Individuals may be asked questions concerning various activities of the Company outside the scope of the employee’s regular duties. Such inquiries may come from the media, stock exchanges, analysts and others regarding the Company’s business, rumors, trading activity, current and future prospects and plans, acquisition or divestiture activities and other similar important information.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It is very important that all such communications on behalf of the Company be made through an appropriately designated officer. Failure to do so could result in violations of federal securities laws, including Regulation FD, which was enacted by the SEC to prohibit companies from disclosing material information to analysts and shareholders prior to public release of the information. Please forward all inquiries of this nature to the Investor Relations Team at </w:t>
      </w:r>
      <w:r>
        <w:rPr>
          <w:rFonts w:ascii="Arial" w:cs="Arial" w:eastAsia="Arial" w:hAnsi="Arial"/>
          <w:sz w:val="19"/>
          <w:szCs w:val="19"/>
          <w:u w:val="single" w:color="auto"/>
          <w:color w:val="0563C1"/>
        </w:rPr>
        <w:t>investors@xpo.com</w:t>
      </w:r>
      <w:r>
        <w:rPr>
          <w:rFonts w:ascii="Arial" w:cs="Arial" w:eastAsia="Arial" w:hAnsi="Arial"/>
          <w:sz w:val="19"/>
          <w:szCs w:val="19"/>
          <w:color w:val="auto"/>
        </w:rPr>
        <w:t xml:space="preserve"> for proper handling.</w:t>
      </w:r>
    </w:p>
    <w:p>
      <w:pPr>
        <w:spacing w:after="0" w:line="179"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b w:val="1"/>
          <w:bCs w:val="1"/>
          <w:i w:val="1"/>
          <w:iCs w:val="1"/>
          <w:color w:val="auto"/>
        </w:rPr>
        <w:t xml:space="preserve">Federal and state securities laws are technical in nature and can be difficult to navigate. Accordingly, a Covered Individual is advised to consult with his or her own legal counsel or contact the Trading Compliance Team by e-mail at </w:t>
      </w:r>
      <w:r>
        <w:rPr>
          <w:rFonts w:ascii="Arial" w:cs="Arial" w:eastAsia="Arial" w:hAnsi="Arial"/>
          <w:sz w:val="20"/>
          <w:szCs w:val="20"/>
          <w:b w:val="1"/>
          <w:bCs w:val="1"/>
          <w:i w:val="1"/>
          <w:iCs w:val="1"/>
          <w:u w:val="single" w:color="auto"/>
          <w:color w:val="0563C1"/>
        </w:rPr>
        <w:t>stocktrading@xpo.com</w:t>
      </w:r>
      <w:r>
        <w:rPr>
          <w:rFonts w:ascii="Arial" w:cs="Arial" w:eastAsia="Arial" w:hAnsi="Arial"/>
          <w:sz w:val="20"/>
          <w:szCs w:val="20"/>
          <w:b w:val="1"/>
          <w:bCs w:val="1"/>
          <w:i w:val="1"/>
          <w:iCs w:val="1"/>
          <w:color w:val="0563C1"/>
        </w:rPr>
        <w:t xml:space="preserve"> </w:t>
      </w:r>
      <w:r>
        <w:rPr>
          <w:rFonts w:ascii="Arial" w:cs="Arial" w:eastAsia="Arial" w:hAnsi="Arial"/>
          <w:sz w:val="20"/>
          <w:szCs w:val="20"/>
          <w:b w:val="1"/>
          <w:bCs w:val="1"/>
          <w:i w:val="1"/>
          <w:iCs w:val="1"/>
          <w:color w:val="000000"/>
        </w:rPr>
        <w:t>with any questions about the law or this Policy or its application to a particular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0" w:lineRule="exact"/>
        <w:rPr>
          <w:sz w:val="20"/>
          <w:szCs w:val="20"/>
          <w:color w:val="auto"/>
        </w:rPr>
      </w:pPr>
    </w:p>
    <w:p>
      <w:pPr>
        <w:spacing w:after="0" w:line="2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XPO, Inc. maintains approximately 97 subsidiaries. Set forth below are the names of certain wholly owned or at least 90% owned subsidiaries of XPO, Inc., as of January 31, 2026, that provide freight transportation or support services. The names of certain consolidated wholly or at least 90% owned subsidiaries that carry on the same line of business have been omitted.</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8700" w:type="dxa"/>
            <w:vAlign w:val="bottom"/>
            <w:vMerge w:val="restart"/>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Country or State of</w:t>
            </w:r>
          </w:p>
        </w:tc>
        <w:tc>
          <w:tcPr>
            <w:tcW w:w="0" w:type="dxa"/>
            <w:vAlign w:val="bottom"/>
          </w:tcPr>
          <w:p>
            <w:pPr>
              <w:spacing w:after="0"/>
              <w:rPr>
                <w:sz w:val="1"/>
                <w:szCs w:val="1"/>
                <w:color w:val="auto"/>
              </w:rPr>
            </w:pPr>
          </w:p>
        </w:tc>
      </w:tr>
      <w:tr>
        <w:trPr>
          <w:trHeight w:val="156"/>
        </w:trPr>
        <w:tc>
          <w:tcPr>
            <w:tcW w:w="44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000000"/>
          </w:tcPr>
          <w:p>
            <w:pPr>
              <w:spacing w:after="0"/>
              <w:rPr>
                <w:sz w:val="2"/>
                <w:szCs w:val="2"/>
                <w:color w:val="auto"/>
              </w:rPr>
            </w:pPr>
          </w:p>
        </w:tc>
        <w:tc>
          <w:tcPr>
            <w:tcW w:w="87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XPO,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CNW,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Logistics Freight,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Enterprise Services, LLC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LTL Properties, LLC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Holdings UK I Limited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Logistics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Transport Solutions Luxembourg</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Global Forwarding International</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Holdings UK and Ireland Limited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Logistics Europe</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333-112899) on Form S-3 and (No. 333-240288, 333-232964, 333-222985, 333-216334, and 333-266655) on Form S-8 of our report dated February 5, 2026, with respect to the consolidated financial statements of XPO, Inc. and the effectiveness of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ectPr>
          <w:pgSz w:w="11900" w:h="16838" w:orient="portrait"/>
          <w:cols w:equalWidth="0" w:num="1">
            <w:col w:w="11240"/>
          </w:cols>
          <w:pgMar w:left="320" w:top="104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Mario Harik, certify that:</w:t>
      </w:r>
    </w:p>
    <w:p>
      <w:pPr>
        <w:spacing w:after="0" w:line="117" w:lineRule="exact"/>
        <w:rPr>
          <w:sz w:val="20"/>
          <w:szCs w:val="20"/>
          <w:color w:val="auto"/>
        </w:rPr>
      </w:pPr>
    </w:p>
    <w:p>
      <w:pPr>
        <w:ind w:left="1080" w:hanging="181"/>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XPO, Inc.;</w:t>
      </w:r>
    </w:p>
    <w:p>
      <w:pPr>
        <w:spacing w:after="0" w:line="117" w:lineRule="exact"/>
        <w:rPr>
          <w:rFonts w:ascii="Times New Roman" w:cs="Times New Roman" w:eastAsia="Times New Roman" w:hAnsi="Times New Roman"/>
          <w:sz w:val="18"/>
          <w:szCs w:val="18"/>
          <w:color w:val="auto"/>
        </w:rPr>
      </w:pPr>
    </w:p>
    <w:p>
      <w:pPr>
        <w:ind w:right="80" w:firstLine="899"/>
        <w:spacing w:after="0" w:line="266" w:lineRule="auto"/>
        <w:tabs>
          <w:tab w:leader="none" w:pos="10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540" w:firstLine="899"/>
        <w:spacing w:after="0" w:line="282" w:lineRule="auto"/>
        <w:tabs>
          <w:tab w:leader="none" w:pos="10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60" w:firstLine="899"/>
        <w:spacing w:after="0" w:line="261" w:lineRule="auto"/>
        <w:tabs>
          <w:tab w:leader="none" w:pos="10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1466"/>
        <w:spacing w:after="0" w:line="266" w:lineRule="auto"/>
        <w:tabs>
          <w:tab w:leader="none" w:pos="17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40" w:firstLine="1466"/>
        <w:spacing w:after="0" w:line="266" w:lineRule="auto"/>
        <w:tabs>
          <w:tab w:leader="none" w:pos="171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466"/>
        <w:spacing w:after="0" w:line="282" w:lineRule="auto"/>
        <w:tabs>
          <w:tab w:leader="none" w:pos="17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1466"/>
        <w:spacing w:after="0" w:line="266" w:lineRule="auto"/>
        <w:tabs>
          <w:tab w:leader="none" w:pos="171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right="600" w:firstLine="899"/>
        <w:spacing w:after="0" w:line="312" w:lineRule="auto"/>
        <w:tabs>
          <w:tab w:leader="none" w:pos="107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40" w:firstLine="1466"/>
        <w:spacing w:after="0" w:line="282" w:lineRule="auto"/>
        <w:tabs>
          <w:tab w:leader="none" w:pos="17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20" w:firstLine="1466"/>
        <w:spacing w:after="0" w:line="282" w:lineRule="auto"/>
        <w:tabs>
          <w:tab w:leader="none" w:pos="171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2">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Mario Harik</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2026</w:t>
      </w:r>
    </w:p>
    <w:p>
      <w:pPr>
        <w:sectPr>
          <w:pgSz w:w="11900" w:h="16838" w:orient="portrait"/>
          <w:cols w:equalWidth="0" w:num="1">
            <w:col w:w="11240"/>
          </w:cols>
          <w:pgMar w:left="320" w:top="104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Kyle Wismans, certify that:</w:t>
      </w:r>
    </w:p>
    <w:p>
      <w:pPr>
        <w:spacing w:after="0" w:line="117" w:lineRule="exact"/>
        <w:rPr>
          <w:sz w:val="20"/>
          <w:szCs w:val="20"/>
          <w:color w:val="auto"/>
        </w:rPr>
      </w:pPr>
    </w:p>
    <w:p>
      <w:pPr>
        <w:ind w:left="1080" w:hanging="181"/>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XPO, Inc.;</w:t>
      </w:r>
    </w:p>
    <w:p>
      <w:pPr>
        <w:spacing w:after="0" w:line="117" w:lineRule="exact"/>
        <w:rPr>
          <w:rFonts w:ascii="Times New Roman" w:cs="Times New Roman" w:eastAsia="Times New Roman" w:hAnsi="Times New Roman"/>
          <w:sz w:val="18"/>
          <w:szCs w:val="18"/>
          <w:color w:val="auto"/>
        </w:rPr>
      </w:pPr>
    </w:p>
    <w:p>
      <w:pPr>
        <w:ind w:right="80" w:firstLine="899"/>
        <w:spacing w:after="0" w:line="266"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540" w:firstLine="899"/>
        <w:spacing w:after="0" w:line="282"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60" w:firstLine="899"/>
        <w:spacing w:after="0" w:line="261"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1466"/>
        <w:spacing w:after="0" w:line="266" w:lineRule="auto"/>
        <w:tabs>
          <w:tab w:leader="none" w:pos="1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40" w:firstLine="1466"/>
        <w:spacing w:after="0" w:line="266" w:lineRule="auto"/>
        <w:tabs>
          <w:tab w:leader="none" w:pos="1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466"/>
        <w:spacing w:after="0" w:line="282" w:lineRule="auto"/>
        <w:tabs>
          <w:tab w:leader="none" w:pos="1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1466"/>
        <w:spacing w:after="0" w:line="266" w:lineRule="auto"/>
        <w:tabs>
          <w:tab w:leader="none" w:pos="1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right="600" w:firstLine="899"/>
        <w:spacing w:after="0" w:line="312" w:lineRule="auto"/>
        <w:tabs>
          <w:tab w:leader="none" w:pos="107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40" w:firstLine="1466"/>
        <w:spacing w:after="0" w:line="282" w:lineRule="auto"/>
        <w:tabs>
          <w:tab w:leader="none" w:pos="1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20" w:firstLine="1466"/>
        <w:spacing w:after="0" w:line="282" w:lineRule="auto"/>
        <w:tabs>
          <w:tab w:leader="none" w:pos="1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3">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Kyle Wismans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2026</w:t>
      </w:r>
    </w:p>
    <w:p>
      <w:pPr>
        <w:sectPr>
          <w:pgSz w:w="11900" w:h="16838" w:orient="portrait"/>
          <w:cols w:equalWidth="0" w:num="1">
            <w:col w:w="11240"/>
          </w:cols>
          <w:pgMar w:left="320" w:top="104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Executive Officer of XPO, Inc. (the “Company”), hereby certify, based on my knowledge, that the Annual Report on Form 10-K of the Company for the year ended December 31, 2025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4">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Mario Harik</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2026</w:t>
      </w:r>
    </w:p>
    <w:p>
      <w:pPr>
        <w:sectPr>
          <w:pgSz w:w="11900" w:h="16838" w:orient="portrait"/>
          <w:cols w:equalWidth="0" w:num="1">
            <w:col w:w="11240"/>
          </w:cols>
          <w:pgMar w:left="320" w:top="104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Financial Officer of XPO, Inc. (the “Company”), hereby certify, based on my knowledge, that the Annual Report on Form 10-K of the Company for the year ended December 31, 2025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5">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Kyle Wismans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5, 2026</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38" Type="http://schemas.openxmlformats.org/officeDocument/2006/relationships/image" Target="media/image275.png"/><Relationship Id="rId339" Type="http://schemas.openxmlformats.org/officeDocument/2006/relationships/image" Target="media/image276.png"/><Relationship Id="rId340" Type="http://schemas.openxmlformats.org/officeDocument/2006/relationships/image" Target="media/image277.png"/><Relationship Id="rId352" Type="http://schemas.openxmlformats.org/officeDocument/2006/relationships/image" Target="media/image278.png"/><Relationship Id="rId353" Type="http://schemas.openxmlformats.org/officeDocument/2006/relationships/image" Target="media/image279.png"/><Relationship Id="rId354" Type="http://schemas.openxmlformats.org/officeDocument/2006/relationships/image" Target="media/image280.png"/><Relationship Id="rId363" Type="http://schemas.openxmlformats.org/officeDocument/2006/relationships/image" Target="media/image281.png"/><Relationship Id="rId364" Type="http://schemas.openxmlformats.org/officeDocument/2006/relationships/image" Target="media/image282.png"/><Relationship Id="rId365" Type="http://schemas.openxmlformats.org/officeDocument/2006/relationships/image" Target="media/image283.png"/><Relationship Id="rId366" Type="http://schemas.openxmlformats.org/officeDocument/2006/relationships/image" Target="media/image284.png"/><Relationship Id="rId367" Type="http://schemas.openxmlformats.org/officeDocument/2006/relationships/image" Target="media/image285.png"/><Relationship Id="rId368" Type="http://schemas.openxmlformats.org/officeDocument/2006/relationships/image" Target="media/image286.png"/><Relationship Id="rId369" Type="http://schemas.openxmlformats.org/officeDocument/2006/relationships/image" Target="media/image287.png"/><Relationship Id="rId370" Type="http://schemas.openxmlformats.org/officeDocument/2006/relationships/image" Target="media/image288.jpeg"/><Relationship Id="rId371" Type="http://schemas.openxmlformats.org/officeDocument/2006/relationships/image" Target="media/image289.png"/><Relationship Id="rId372" Type="http://schemas.openxmlformats.org/officeDocument/2006/relationships/image" Target="media/image290.png"/><Relationship Id="rId373" Type="http://schemas.openxmlformats.org/officeDocument/2006/relationships/image" Target="media/image291.png"/><Relationship Id="rId374" Type="http://schemas.openxmlformats.org/officeDocument/2006/relationships/image" Target="media/image292.png"/><Relationship Id="rId375" Type="http://schemas.openxmlformats.org/officeDocument/2006/relationships/image" Target="media/image293.png"/><Relationship Id="rId276" Type="http://schemas.openxmlformats.org/officeDocument/2006/relationships/hyperlink" Target="https://www.sec.gov/Archives/edgar/data/1166003/000095012311058838/k50502exv2w1.htm" TargetMode="External"/><Relationship Id="rId277" Type="http://schemas.openxmlformats.org/officeDocument/2006/relationships/hyperlink" Target="https://www.sec.gov/Archives/edgar/data/1166003/000162828021015382/exhibit21-form8xkxpo.htm" TargetMode="External"/><Relationship Id="rId278" Type="http://schemas.openxmlformats.org/officeDocument/2006/relationships/hyperlink" Target="https://www.sec.gov/Archives/edgar/data/1166003/000162828022027576/exhibit21-closing8xk.htm" TargetMode="External"/><Relationship Id="rId279" Type="http://schemas.openxmlformats.org/officeDocument/2006/relationships/hyperlink" Target="https://www.sec.gov/Archives/edgar/data/1166003/000110465923127938/tm2333197d1_ex2-1.htm" TargetMode="External"/><Relationship Id="rId280" Type="http://schemas.openxmlformats.org/officeDocument/2006/relationships/hyperlink" Target="https://www.sec.gov/Archives/edgar/data/1166003/000095012408001571/k25117exv3w1.htm" TargetMode="External"/><Relationship Id="rId281" Type="http://schemas.openxmlformats.org/officeDocument/2006/relationships/hyperlink" Target="https://www.sec.gov/Archives/edgar/data/1166003/000095012406003167/k05874exv3.htm" TargetMode="External"/><Relationship Id="rId282" Type="http://schemas.openxmlformats.org/officeDocument/2006/relationships/hyperlink" Target="https://www.sec.gov/Archives/edgar/data/1166003/000095012407004281/k17740exv3wxiy.htm" TargetMode="External"/><Relationship Id="rId283" Type="http://schemas.openxmlformats.org/officeDocument/2006/relationships/hyperlink" Target="https://www.sec.gov/Archives/edgar/data/1166003/000095012311082522/k50709exv3w1.htm" TargetMode="External"/><Relationship Id="rId284" Type="http://schemas.openxmlformats.org/officeDocument/2006/relationships/hyperlink" Target="https://www.sec.gov/Archives/edgar/data/1166003/000116600315000025/form8k05202015ex31.htm" TargetMode="External"/><Relationship Id="rId285" Type="http://schemas.openxmlformats.org/officeDocument/2006/relationships/hyperlink" Target="https://www.sec.gov/Archives/edgar/data/1166003/000116600315000054/form8k09082015ex31.htm" TargetMode="External"/><Relationship Id="rId286" Type="http://schemas.openxmlformats.org/officeDocument/2006/relationships/hyperlink" Target="https://www.sec.gov/Archives/edgar/data/1166003/000110465922128317/tm2232911d1_ex3-1.htm" TargetMode="External"/><Relationship Id="rId289" Type="http://schemas.openxmlformats.org/officeDocument/2006/relationships/hyperlink" Target="https://www.sec.gov/Archives/edgar/data/1166003/000116600324000022/xpo202310-kexx38.htm" TargetMode="External"/><Relationship Id="rId290" Type="http://schemas.openxmlformats.org/officeDocument/2006/relationships/hyperlink" Target="https://www.sec.gov/Archives/edgar/data/1166003/000095012311082522/k50709exv4w1.htm" TargetMode="External"/><Relationship Id="rId291" Type="http://schemas.openxmlformats.org/officeDocument/2006/relationships/hyperlink" Target="https://www.sec.gov/Archives/edgar/data/1166003/000095012311082522/k50709exv4w3.htm" TargetMode="External"/><Relationship Id="rId292" Type="http://schemas.openxmlformats.org/officeDocument/2006/relationships/hyperlink" Target="https://www.sec.gov/Archives/edgar/data/1166003/000119312514344903/d791796dex41.htm" TargetMode="External"/><Relationship Id="rId293" Type="http://schemas.openxmlformats.org/officeDocument/2006/relationships/hyperlink" Target="https://www.sec.gov/Archives/edgar/data/1166003/000119312515237429/d947974dex42.htm" TargetMode="External"/><Relationship Id="rId294" Type="http://schemas.openxmlformats.org/officeDocument/2006/relationships/hyperlink" Target="https://www.sec.gov/Archives/edgar/data/1166003/000116600324000022/xpo202310-kexx45.htm" TargetMode="External"/><Relationship Id="rId295" Type="http://schemas.openxmlformats.org/officeDocument/2006/relationships/hyperlink" Target="https://www.sec.gov/Archives/edgar/data/1166003/000110465923064277/tm2316602d1_ex4-1.htm" TargetMode="External"/><Relationship Id="rId296" Type="http://schemas.openxmlformats.org/officeDocument/2006/relationships/hyperlink" Target="https://www.sec.gov/Archives/edgar/data/1166003/000110465923064277/tm2316602d1_ex4-2.htm" TargetMode="External"/><Relationship Id="rId297" Type="http://schemas.openxmlformats.org/officeDocument/2006/relationships/hyperlink" Target="https://www.sec.gov/Archives/edgar/data/1166003/000110465923125719/tm2332064d3_ex4-1.htm" TargetMode="External"/><Relationship Id="rId298" Type="http://schemas.openxmlformats.org/officeDocument/2006/relationships/hyperlink" Target="https://www.sec.gov/Archives/edgar/data/1166003/000119312516773830/d256720ddef14a.htm#proxy256720_12" TargetMode="External"/><Relationship Id="rId299" Type="http://schemas.openxmlformats.org/officeDocument/2006/relationships/hyperlink" Target="https://www.sec.gov/Archives/edgar/data/1166003/000104746919002443/a2238430zdef14a.htm#AnnexB" TargetMode="External"/><Relationship Id="rId300" Type="http://schemas.openxmlformats.org/officeDocument/2006/relationships/hyperlink" Target="https://www.sec.gov/Archives/edgar/data/1166003/000104746920002482/a2241399zdef14a.htm#ek75601_annex_b_-_amendment_to_the_xpo__ann03140" TargetMode="External"/><Relationship Id="rId301" Type="http://schemas.openxmlformats.org/officeDocument/2006/relationships/hyperlink" Target="https://www.sec.gov/Archives/edgar/data/1166003/000116600322000044/xpo2022q110-qexx101.htm" TargetMode="External"/><Relationship Id="rId302" Type="http://schemas.openxmlformats.org/officeDocument/2006/relationships/hyperlink" Target="https://www.sec.gov/Archives/edgar/data/1166003/000116600322000044/xpo2022q110-qexx102.htm" TargetMode="External"/><Relationship Id="rId303" Type="http://schemas.openxmlformats.org/officeDocument/2006/relationships/hyperlink" Target="https://www.sec.gov/Archives/edgar/data/1166003/000110465922046950/tm2211505-2_def14a.htm#tABAN" TargetMode="External"/><Relationship Id="rId306" Type="http://schemas.openxmlformats.org/officeDocument/2006/relationships/hyperlink" Target="https://www.sec.gov/Archives/edgar/data/1166003/000116600322000059/xpo2022q310-qexx102.htm" TargetMode="External"/><Relationship Id="rId307" Type="http://schemas.openxmlformats.org/officeDocument/2006/relationships/hyperlink" Target="https://www.sec.gov/Archives/edgar/data/1166003/000116600323000053/xpo2023q110-qexx103.htm" TargetMode="External"/><Relationship Id="rId308" Type="http://schemas.openxmlformats.org/officeDocument/2006/relationships/hyperlink" Target="https://www.sec.gov/Archives/edgar/data/1166003/000116600323000053/xpo2023q110-qexx104.htm" TargetMode="External"/><Relationship Id="rId309" Type="http://schemas.openxmlformats.org/officeDocument/2006/relationships/hyperlink" Target="https://www.sec.gov/Archives/edgar/data/1166003/000116600323000053/xpo2023q110-qexx105.htm" TargetMode="External"/><Relationship Id="rId310" Type="http://schemas.openxmlformats.org/officeDocument/2006/relationships/hyperlink" Target="https://www.sec.gov/Archives/edgar/data/1166003/000116600323000075/xpo2023q310-qexx101.htm" TargetMode="External"/><Relationship Id="rId311" Type="http://schemas.openxmlformats.org/officeDocument/2006/relationships/hyperlink" Target="https://www.sec.gov/Archives/edgar/data/1166003/000116600323000075/xpo2023q310-qexx103.htm" TargetMode="External"/><Relationship Id="rId312" Type="http://schemas.openxmlformats.org/officeDocument/2006/relationships/hyperlink" Target="https://www.sec.gov/Archives/edgar/data/1166003/000116600323000075/xpo2023q310-qexx106.htm" TargetMode="External"/><Relationship Id="rId313" Type="http://schemas.openxmlformats.org/officeDocument/2006/relationships/hyperlink" Target="https://www.sec.gov/Archives/edgar/data/1166003/000116600323000075/xpo2023q310-qexx107.htm" TargetMode="External"/><Relationship Id="rId314" Type="http://schemas.openxmlformats.org/officeDocument/2006/relationships/hyperlink" Target="https://www.sec.gov/Archives/edgar/data/1166003/000116600323000075/xpo2023q310-qexx109.htm" TargetMode="External"/><Relationship Id="rId315" Type="http://schemas.openxmlformats.org/officeDocument/2006/relationships/hyperlink" Target="https://www.sec.gov/Archives/edgar/data/1166003/000116600323000075/xpo2023q310-qexx1010.htm" TargetMode="External"/><Relationship Id="rId316" Type="http://schemas.openxmlformats.org/officeDocument/2006/relationships/hyperlink" Target="https://www.sec.gov/Archives/edgar/data/1166003/000116600324000066/xpo2024q110-qexx102.htm" TargetMode="External"/><Relationship Id="rId317" Type="http://schemas.openxmlformats.org/officeDocument/2006/relationships/hyperlink" Target="https://www.sec.gov/Archives/edgar/data/1166003/000116600324000066/xpo2024q110-qexx103.htm" TargetMode="External"/><Relationship Id="rId318" Type="http://schemas.openxmlformats.org/officeDocument/2006/relationships/hyperlink" Target="https://www.sec.gov/Archives/edgar/data/1166003/000116600324000066/xpo2024q110-qexx104.htm" TargetMode="External"/><Relationship Id="rId319" Type="http://schemas.openxmlformats.org/officeDocument/2006/relationships/hyperlink" Target="https://www.sec.gov/Archives/edgar/data/1166003/000116600324000066/xpo2024q110-qexx105.htm" TargetMode="External"/><Relationship Id="rId320" Type="http://schemas.openxmlformats.org/officeDocument/2006/relationships/hyperlink" Target="https://www.sec.gov/Archives/edgar/data/1166003/000116600325000017/xpo202410-kexx1026.htm" TargetMode="External"/><Relationship Id="rId323" Type="http://schemas.openxmlformats.org/officeDocument/2006/relationships/hyperlink" Target="https://www.sec.gov/Archives/edgar/data/1166003/000116600325000067/xpo2025q110-qexx102.htm" TargetMode="External"/><Relationship Id="rId324" Type="http://schemas.openxmlformats.org/officeDocument/2006/relationships/hyperlink" Target="https://www.sec.gov/Archives/edgar/data/1166003/000116600325000067/xpo2025q110-qexx103.htm" TargetMode="External"/><Relationship Id="rId325" Type="http://schemas.openxmlformats.org/officeDocument/2006/relationships/hyperlink" Target="https://www.sec.gov/Archives/edgar/data/1166003/000116600325000067/xpo2025q110-qexx104.htm" TargetMode="External"/><Relationship Id="rId326" Type="http://schemas.openxmlformats.org/officeDocument/2006/relationships/hyperlink" Target="https://www.sec.gov/Archives/edgar/data/1166003/000116600325000067/xpo2025q110-qexx105.htm" TargetMode="External"/><Relationship Id="rId327" Type="http://schemas.openxmlformats.org/officeDocument/2006/relationships/hyperlink" Target="https://www.sec.gov/Archives/edgar/data/1166003/000116600322000059/xpo2022q310-qexx101.htm" TargetMode="External"/><Relationship Id="rId328" Type="http://schemas.openxmlformats.org/officeDocument/2006/relationships/hyperlink" Target="https://www.sec.gov/Archives/edgar/data/1166003/000116600322000059/xpo2022q310-qexx104.htm" TargetMode="External"/><Relationship Id="rId329" Type="http://schemas.openxmlformats.org/officeDocument/2006/relationships/hyperlink" Target="https://www.sec.gov/Archives/edgar/data/1166003/000116600323000017/xpo202210-kexx1034.htm" TargetMode="External"/><Relationship Id="rId330" Type="http://schemas.openxmlformats.org/officeDocument/2006/relationships/hyperlink" Target="https://www.sec.gov/Archives/edgar/data/1166003/000116600323000053/xpo2023q110-qexx101.htm" TargetMode="External"/><Relationship Id="rId331" Type="http://schemas.openxmlformats.org/officeDocument/2006/relationships/hyperlink" Target="https://www.sec.gov/Archives/edgar/data/1166003/000116600323000053/xpo2023q110-qexx102.htm" TargetMode="External"/><Relationship Id="rId332" Type="http://schemas.openxmlformats.org/officeDocument/2006/relationships/hyperlink" Target="https://www.sec.gov/Archives/edgar/data/1166003/000116600323000053/xpo2023q110-qexx106.htm" TargetMode="External"/><Relationship Id="rId333" Type="http://schemas.openxmlformats.org/officeDocument/2006/relationships/hyperlink" Target="https://www.sec.gov/Archives/edgar/data/1166003/000116600323000053/xpo2023q110-qexx107.htm" TargetMode="External"/><Relationship Id="rId334" Type="http://schemas.openxmlformats.org/officeDocument/2006/relationships/hyperlink" Target="https://www.sec.gov/Archives/edgar/data/1166003/000116600323000064/xpo2023q210-qexx104.htm" TargetMode="External"/><Relationship Id="rId335" Type="http://schemas.openxmlformats.org/officeDocument/2006/relationships/hyperlink" Target="https://www.sec.gov/Archives/edgar/data/1166003/000116600323000064/xpo2023q210-qexx105.htm" TargetMode="External"/><Relationship Id="rId336" Type="http://schemas.openxmlformats.org/officeDocument/2006/relationships/hyperlink" Target="https://www.sec.gov/Archives/edgar/data/1166003/000116600324000076/xpo2024q310-qexx102.htm" TargetMode="External"/><Relationship Id="rId337" Type="http://schemas.openxmlformats.org/officeDocument/2006/relationships/hyperlink" Target="https://www.sec.gov/Archives/edgar/data/1166003/000119312515361214/d57363dex102.htm" TargetMode="External"/><Relationship Id="rId341" Type="http://schemas.openxmlformats.org/officeDocument/2006/relationships/hyperlink" Target="https://www.sec.gov/Archives/edgar/data/1166003/000119312516693998/d231200dex101.htm" TargetMode="External"/><Relationship Id="rId342" Type="http://schemas.openxmlformats.org/officeDocument/2006/relationships/hyperlink" Target="https://www.sec.gov/Archives/edgar/data/1166003/000119312517079664/d325309dex101.htm" TargetMode="External"/><Relationship Id="rId343" Type="http://schemas.openxmlformats.org/officeDocument/2006/relationships/hyperlink" Target="https://www.sec.gov/Archives/edgar/data/1166003/000119312518058662/d542963dex101.htm" TargetMode="External"/><Relationship Id="rId344" Type="http://schemas.openxmlformats.org/officeDocument/2006/relationships/hyperlink" Target="https://www.sec.gov/Archives/edgar/data/1166003/000116600319000030/xpo2019q110-qexx101.htm" TargetMode="External"/><Relationship Id="rId345" Type="http://schemas.openxmlformats.org/officeDocument/2006/relationships/hyperlink" Target="https://www.sec.gov/Archives/edgar/data/1166003/000110465919015585/a19-6728_1ex10d1.htm" TargetMode="External"/><Relationship Id="rId346" Type="http://schemas.openxmlformats.org/officeDocument/2006/relationships/hyperlink" Target="https://www.sec.gov/Archives/edgar/data/1166003/000110465921031167/tm218397d1_ex10-1.htm" TargetMode="External"/><Relationship Id="rId347" Type="http://schemas.openxmlformats.org/officeDocument/2006/relationships/hyperlink" Target="https://www.sec.gov/Archives/edgar/data/1166003/000110465922070518/tm2218145d1_ex10-1.htm" TargetMode="External"/><Relationship Id="rId348" Type="http://schemas.openxmlformats.org/officeDocument/2006/relationships/hyperlink" Target="https://www.sec.gov/Archives/edgar/data/1166003/000110465923064277/tm2316602d1_ex10-1.htm" TargetMode="External"/><Relationship Id="rId349" Type="http://schemas.openxmlformats.org/officeDocument/2006/relationships/hyperlink" Target="https://www.sec.gov/Archives/edgar/data/1166003/000110465923125719/tm2332064d3_ex10-1.htm" TargetMode="External"/><Relationship Id="rId350" Type="http://schemas.openxmlformats.org/officeDocument/2006/relationships/hyperlink" Target="https://www.sec.gov/Archives/edgar/data/1166003/000110465925017441/tm257583d1_ex10-1.htm" TargetMode="External"/><Relationship Id="rId351" Type="http://schemas.openxmlformats.org/officeDocument/2006/relationships/hyperlink" Target="https://www.sec.gov/Archives/edgar/data/1166003/000110465925017441/tm257583d1_ex10-2.htm" TargetMode="External"/><Relationship Id="rId355" Type="http://schemas.openxmlformats.org/officeDocument/2006/relationships/hyperlink" Target="https://www.sec.gov/Archives/edgar/data/1166003/000116600325000067/xpo2025q110-qexx108.htm" TargetMode="External"/><Relationship Id="rId356" Type="http://schemas.openxmlformats.org/officeDocument/2006/relationships/hyperlink" Target="https://www.sec.gov/Archives/edgar/data/1166003/000162828021015382/exhibit102-form8xkxpo.htm" TargetMode="External"/><Relationship Id="rId357" Type="http://schemas.openxmlformats.org/officeDocument/2006/relationships/hyperlink" Target="https://www.sec.gov/Archives/edgar/data/1166003/000162828021015382/exhibit103-form8kxpo.htm" TargetMode="External"/><Relationship Id="rId358" Type="http://schemas.openxmlformats.org/officeDocument/2006/relationships/hyperlink" Target="https://www.sec.gov/Archives/edgar/data/1166003/000110465922111223/tm2228644d1_ex10-1.htm" TargetMode="External"/><Relationship Id="rId359" Type="http://schemas.openxmlformats.org/officeDocument/2006/relationships/hyperlink" Target="https://www.sec.gov/Archives/edgar/data/1166003/000162828022027576/exhibit101-closing8xk.htm" TargetMode="External"/><Relationship Id="rId360" Type="http://schemas.openxmlformats.org/officeDocument/2006/relationships/hyperlink" Target="https://www.sec.gov/Archives/edgar/data/1166003/000162828022027576/exhibit102-closing8xk.htm" TargetMode="External"/><Relationship Id="rId361" Type="http://schemas.openxmlformats.org/officeDocument/2006/relationships/hyperlink" Target="https://www.sec.gov/Archives/edgar/data/1166003/000162828022027576/exhibit103-closing8xk.htm" TargetMode="External"/><Relationship Id="rId362" Type="http://schemas.openxmlformats.org/officeDocument/2006/relationships/hyperlink" Target="https://www.sec.gov/Archives/edgar/data/1166003/000116600323000075/xpo2023q310-qex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2026-02-05T15:32:14Z</dcterms:created>
  <dcterms:modified xsi:type="dcterms:W3CDTF">2026-02-05T15:32:14Z</dcterms:modified>
</cp:coreProperties>
</file>