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XPO,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5,830,028.00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5,847,955.00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5,847,955.00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XPO,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 American Lane, Greenwich, CT 06831, United States of America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FLOOR, LOS ANGELES, CALIFORNIA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jc w:val="both"/>
        <w:ind w:left="920" w:right="660"/>
        <w:spacing w:after="0" w:line="253" w:lineRule="auto"/>
        <w:rPr>
          <w:sz w:val="20"/>
          <w:szCs w:val="20"/>
          <w:color w:val="auto"/>
        </w:rPr>
      </w:pPr>
      <w:r>
        <w:rPr>
          <w:rFonts w:ascii="Times New Roman" w:cs="Times New Roman" w:eastAsia="Times New Roman" w:hAnsi="Times New Roman"/>
          <w:sz w:val="21"/>
          <w:szCs w:val="21"/>
          <w:color w:val="auto"/>
        </w:rPr>
        <w:t>5,847,955 ** **Capital World Investors ("CWI")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140" w:hanging="912"/>
        <w:spacing w:after="0" w:line="245"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5,847,955 shares or 5.0% of the 117,147,357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5,830,028</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5,847,955</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Capital World Investors</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spacing w:after="0" w:line="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Senior Vice President and Associate General</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 Counsel, Capital Research and Management</w:t>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540"/>
      </w:cols>
      <w:pgMar w:left="1440" w:top="112"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2026-05-14T12:56:52Z</dcterms:created>
  <dcterms:modified xsi:type="dcterms:W3CDTF">2026-05-14T12:56:52Z</dcterms:modified>
</cp:coreProperties>
</file>