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3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rk One)</w:t>
      </w:r>
    </w:p>
    <w:p>
      <w:pPr>
        <w:spacing w:after="0" w:line="26" w:lineRule="exact"/>
        <w:rPr>
          <w:sz w:val="24"/>
          <w:szCs w:val="24"/>
          <w:color w:val="auto"/>
        </w:rPr>
      </w:pPr>
    </w:p>
    <w:p>
      <w:pPr>
        <w:ind w:left="520" w:hanging="41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8" w:lineRule="exact"/>
        <w:rPr>
          <w:sz w:val="24"/>
          <w:szCs w:val="24"/>
          <w:color w:val="auto"/>
        </w:rPr>
      </w:pPr>
    </w:p>
    <w:p>
      <w:pPr>
        <w:ind w:left="520" w:hanging="41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3727450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2370455</wp:posOffset>
            </wp:positionH>
            <wp:positionV relativeFrom="paragraph">
              <wp:posOffset>39370</wp:posOffset>
            </wp:positionV>
            <wp:extent cx="251142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XPO Logistics, Inc.</w:t>
      </w:r>
    </w:p>
    <w:p>
      <w:pPr>
        <w:spacing w:after="0" w:line="6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30" w:lineRule="exact"/>
        <w:rPr>
          <w:sz w:val="24"/>
          <w:szCs w:val="24"/>
          <w:color w:val="auto"/>
        </w:rPr>
      </w:pPr>
    </w:p>
    <w:tbl>
      <w:tblPr>
        <w:tblLayout w:type="fixed"/>
        <w:tblInd w:w="80" w:type="dxa"/>
        <w:tblCellMar>
          <w:top w:w="0" w:type="dxa"/>
          <w:left w:w="0" w:type="dxa"/>
          <w:bottom w:w="0" w:type="dxa"/>
          <w:right w:w="0" w:type="dxa"/>
        </w:tblCellMar>
      </w:tblPr>
      <w:tr>
        <w:trPr>
          <w:trHeight w:val="225"/>
        </w:trPr>
        <w:tc>
          <w:tcPr>
            <w:tcW w:w="4480" w:type="dxa"/>
            <w:vAlign w:val="bottom"/>
            <w:gridSpan w:val="3"/>
          </w:tcPr>
          <w:p>
            <w:pPr>
              <w:jc w:val="center"/>
              <w:ind w:left="902"/>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223"/>
              <w:spacing w:after="0"/>
              <w:rPr>
                <w:sz w:val="20"/>
                <w:szCs w:val="20"/>
                <w:color w:val="auto"/>
              </w:rPr>
            </w:pPr>
            <w:r>
              <w:rPr>
                <w:rFonts w:ascii="Arial" w:cs="Arial" w:eastAsia="Arial" w:hAnsi="Arial"/>
                <w:sz w:val="18"/>
                <w:szCs w:val="18"/>
                <w:b w:val="1"/>
                <w:bCs w:val="1"/>
                <w:color w:val="auto"/>
              </w:rPr>
              <w:t>03-0450326</w:t>
            </w:r>
          </w:p>
        </w:tc>
      </w:tr>
      <w:tr>
        <w:trPr>
          <w:trHeight w:val="144"/>
        </w:trPr>
        <w:tc>
          <w:tcPr>
            <w:tcW w:w="4480" w:type="dxa"/>
            <w:vAlign w:val="bottom"/>
            <w:gridSpan w:val="3"/>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983"/>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448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83"/>
              <w:spacing w:after="0"/>
              <w:rPr>
                <w:sz w:val="20"/>
                <w:szCs w:val="20"/>
                <w:color w:val="auto"/>
              </w:rPr>
            </w:pPr>
            <w:r>
              <w:rPr>
                <w:rFonts w:ascii="Arial" w:cs="Arial" w:eastAsia="Arial" w:hAnsi="Arial"/>
                <w:sz w:val="14"/>
                <w:szCs w:val="14"/>
                <w:b w:val="1"/>
                <w:bCs w:val="1"/>
                <w:color w:val="auto"/>
                <w:w w:val="94"/>
              </w:rPr>
              <w:t>Identification No.)</w:t>
            </w:r>
          </w:p>
        </w:tc>
      </w:tr>
      <w:tr>
        <w:trPr>
          <w:trHeight w:val="230"/>
        </w:trPr>
        <w:tc>
          <w:tcPr>
            <w:tcW w:w="4480" w:type="dxa"/>
            <w:vAlign w:val="bottom"/>
            <w:gridSpan w:val="3"/>
          </w:tcPr>
          <w:p>
            <w:pPr>
              <w:jc w:val="center"/>
              <w:ind w:left="902"/>
              <w:spacing w:after="0"/>
              <w:rPr>
                <w:sz w:val="20"/>
                <w:szCs w:val="20"/>
                <w:color w:val="auto"/>
              </w:rPr>
            </w:pPr>
            <w:r>
              <w:rPr>
                <w:rFonts w:ascii="Arial" w:cs="Arial" w:eastAsia="Arial" w:hAnsi="Arial"/>
                <w:sz w:val="18"/>
                <w:szCs w:val="18"/>
                <w:b w:val="1"/>
                <w:bCs w:val="1"/>
                <w:color w:val="auto"/>
                <w:w w:val="92"/>
              </w:rPr>
              <w:t>Five American Lane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25"/>
        </w:trPr>
        <w:tc>
          <w:tcPr>
            <w:tcW w:w="4480" w:type="dxa"/>
            <w:vAlign w:val="bottom"/>
            <w:gridSpan w:val="3"/>
          </w:tcPr>
          <w:p>
            <w:pPr>
              <w:ind w:left="2220"/>
              <w:spacing w:after="0"/>
              <w:rPr>
                <w:sz w:val="20"/>
                <w:szCs w:val="20"/>
                <w:color w:val="auto"/>
              </w:rPr>
            </w:pPr>
            <w:r>
              <w:rPr>
                <w:rFonts w:ascii="Arial" w:cs="Arial" w:eastAsia="Arial" w:hAnsi="Arial"/>
                <w:sz w:val="18"/>
                <w:szCs w:val="18"/>
                <w:b w:val="1"/>
                <w:bCs w:val="1"/>
                <w:color w:val="auto"/>
              </w:rPr>
              <w:t>Greenwich, CT</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423"/>
              <w:spacing w:after="0"/>
              <w:rPr>
                <w:sz w:val="20"/>
                <w:szCs w:val="20"/>
                <w:color w:val="auto"/>
              </w:rPr>
            </w:pPr>
            <w:r>
              <w:rPr>
                <w:rFonts w:ascii="Arial" w:cs="Arial" w:eastAsia="Arial" w:hAnsi="Arial"/>
                <w:sz w:val="18"/>
                <w:szCs w:val="18"/>
                <w:b w:val="1"/>
                <w:bCs w:val="1"/>
                <w:color w:val="auto"/>
              </w:rPr>
              <w:t>06831</w:t>
            </w:r>
          </w:p>
        </w:tc>
      </w:tr>
      <w:tr>
        <w:trPr>
          <w:trHeight w:val="186"/>
        </w:trPr>
        <w:tc>
          <w:tcPr>
            <w:tcW w:w="4480" w:type="dxa"/>
            <w:vAlign w:val="bottom"/>
            <w:gridSpan w:val="3"/>
          </w:tcPr>
          <w:p>
            <w:pPr>
              <w:jc w:val="center"/>
              <w:ind w:left="9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63"/>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 xml:space="preserve">Registrant’s telephone number, including area code </w:t>
            </w:r>
            <w:r>
              <w:rPr>
                <w:rFonts w:ascii="Arial" w:cs="Arial" w:eastAsia="Arial" w:hAnsi="Arial"/>
                <w:sz w:val="17"/>
                <w:szCs w:val="17"/>
                <w:b w:val="1"/>
                <w:bCs w:val="1"/>
                <w:color w:val="auto"/>
                <w:w w:val="92"/>
              </w:rPr>
              <w:t>(855) 976-6951</w:t>
            </w:r>
          </w:p>
        </w:tc>
        <w:tc>
          <w:tcPr>
            <w:tcW w:w="3420" w:type="dxa"/>
            <w:vAlign w:val="bottom"/>
          </w:tcPr>
          <w:p>
            <w:pPr>
              <w:spacing w:after="0"/>
              <w:rPr>
                <w:sz w:val="24"/>
                <w:szCs w:val="24"/>
                <w:color w:val="auto"/>
              </w:rPr>
            </w:pPr>
          </w:p>
        </w:tc>
      </w:tr>
      <w:tr>
        <w:trPr>
          <w:trHeight w:val="186"/>
        </w:trPr>
        <w:tc>
          <w:tcPr>
            <w:tcW w:w="7820" w:type="dxa"/>
            <w:vAlign w:val="bottom"/>
            <w:gridSpan w:val="5"/>
          </w:tcPr>
          <w:p>
            <w:pPr>
              <w:jc w:val="center"/>
              <w:ind w:left="3342"/>
              <w:spacing w:after="0"/>
              <w:rPr>
                <w:sz w:val="20"/>
                <w:szCs w:val="20"/>
                <w:color w:val="auto"/>
              </w:rPr>
            </w:pPr>
            <w:r>
              <w:rPr>
                <w:rFonts w:ascii="Arial" w:cs="Arial" w:eastAsia="Arial" w:hAnsi="Arial"/>
                <w:sz w:val="14"/>
                <w:szCs w:val="14"/>
                <w:b w:val="1"/>
                <w:bCs w:val="1"/>
                <w:color w:val="auto"/>
                <w:w w:val="92"/>
              </w:rPr>
              <w:t>_______________________________________________________</w:t>
            </w:r>
          </w:p>
        </w:tc>
        <w:tc>
          <w:tcPr>
            <w:tcW w:w="3420" w:type="dxa"/>
            <w:vAlign w:val="bottom"/>
          </w:tcPr>
          <w:p>
            <w:pPr>
              <w:spacing w:after="0"/>
              <w:rPr>
                <w:sz w:val="16"/>
                <w:szCs w:val="16"/>
                <w:color w:val="auto"/>
              </w:rPr>
            </w:pPr>
          </w:p>
        </w:tc>
      </w:tr>
      <w:tr>
        <w:trPr>
          <w:trHeight w:val="268"/>
        </w:trPr>
        <w:tc>
          <w:tcPr>
            <w:tcW w:w="3400" w:type="dxa"/>
            <w:vAlign w:val="bottom"/>
          </w:tcPr>
          <w:p>
            <w:pPr>
              <w:spacing w:after="0"/>
              <w:rPr>
                <w:sz w:val="23"/>
                <w:szCs w:val="23"/>
                <w:color w:val="auto"/>
              </w:rPr>
            </w:pPr>
          </w:p>
        </w:tc>
        <w:tc>
          <w:tcPr>
            <w:tcW w:w="4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20" w:type="dxa"/>
            <w:vAlign w:val="bottom"/>
          </w:tcPr>
          <w:p>
            <w:pPr>
              <w:spacing w:after="0"/>
              <w:rPr>
                <w:sz w:val="23"/>
                <w:szCs w:val="23"/>
                <w:color w:val="auto"/>
              </w:rPr>
            </w:pPr>
          </w:p>
        </w:tc>
      </w:tr>
      <w:tr>
        <w:trPr>
          <w:trHeight w:val="291"/>
        </w:trPr>
        <w:tc>
          <w:tcPr>
            <w:tcW w:w="44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5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488"/>
              <w:spacing w:after="0"/>
              <w:rPr>
                <w:sz w:val="20"/>
                <w:szCs w:val="20"/>
                <w:color w:val="auto"/>
              </w:rPr>
            </w:pPr>
            <w:r>
              <w:rPr>
                <w:rFonts w:ascii="Arial" w:cs="Arial" w:eastAsia="Arial" w:hAnsi="Arial"/>
                <w:sz w:val="14"/>
                <w:szCs w:val="14"/>
                <w:color w:val="auto"/>
                <w:w w:val="94"/>
              </w:rPr>
              <w:t>XPO</w:t>
            </w:r>
          </w:p>
        </w:tc>
        <w:tc>
          <w:tcPr>
            <w:tcW w:w="500" w:type="dxa"/>
            <w:vAlign w:val="bottom"/>
          </w:tcPr>
          <w:p>
            <w:pPr>
              <w:spacing w:after="0"/>
              <w:rPr>
                <w:sz w:val="15"/>
                <w:szCs w:val="15"/>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(Title of class)</w:t>
      </w:r>
    </w:p>
    <w:p>
      <w:pPr>
        <w:spacing w:after="0" w:line="69" w:lineRule="exact"/>
        <w:rPr>
          <w:sz w:val="24"/>
          <w:szCs w:val="24"/>
          <w:color w:val="auto"/>
        </w:rPr>
      </w:pPr>
    </w:p>
    <w:p>
      <w:pPr>
        <w:ind w:left="580" w:right="116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80"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815975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435" w:right="339" w:bottom="1440" w:gutter="0" w:footer="0" w:header="0"/>
        </w:sectPr>
      </w:pPr>
    </w:p>
    <w:bookmarkStart w:id="1" w:name="page2"/>
    <w:bookmarkEnd w:id="1"/>
    <w:p>
      <w:pPr>
        <w:spacing w:after="0" w:line="117" w:lineRule="exact"/>
        <w:rPr>
          <w:sz w:val="20"/>
          <w:szCs w:val="20"/>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0"/>
          <w:szCs w:val="20"/>
          <w:color w:val="auto"/>
        </w:rPr>
      </w:pPr>
    </w:p>
    <w:tbl>
      <w:tblPr>
        <w:tblLayout w:type="fixed"/>
        <w:tblInd w:w="14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38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38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80" w:type="dxa"/>
            <w:vAlign w:val="bottom"/>
          </w:tcPr>
          <w:p>
            <w:pPr>
              <w:ind w:left="380"/>
              <w:spacing w:after="0"/>
              <w:rPr>
                <w:sz w:val="20"/>
                <w:szCs w:val="20"/>
                <w:color w:val="auto"/>
              </w:rPr>
            </w:pPr>
            <w:r>
              <w:rPr>
                <w:rFonts w:ascii="Arial" w:cs="Arial" w:eastAsia="Arial" w:hAnsi="Arial"/>
                <w:sz w:val="18"/>
                <w:szCs w:val="18"/>
                <w:color w:val="auto"/>
              </w:rPr>
              <w:t>Emerging growth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$12.9 billion as of June 30, 2021, based upon the closing price of the common stock on that date.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February 11, 2022, there were 114,793,197 shares of the registrant’s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Specified portions of the registrant’s proxy statement, which will be filed with the Securities and Exchange Commission pursuant to Regulation 14A in connection with the registrant’s 2022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8"/>
              </w:rPr>
              <w:t>PART I</w:t>
            </w:r>
          </w:p>
        </w:tc>
        <w:tc>
          <w:tcPr>
            <w:tcW w:w="10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640" w:type="dxa"/>
            <w:vAlign w:val="bottom"/>
          </w:tcPr>
          <w:p>
            <w:pPr>
              <w:spacing w:after="0" w:line="182"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8640" w:type="dxa"/>
            <w:vAlign w:val="bottom"/>
            <w:gridSpan w:val="20"/>
          </w:tcPr>
          <w:p>
            <w:pPr>
              <w:spacing w:after="0"/>
              <w:rPr>
                <w:sz w:val="15"/>
                <w:szCs w:val="15"/>
                <w:color w:val="auto"/>
              </w:rPr>
            </w:pPr>
          </w:p>
        </w:tc>
        <w:tc>
          <w:tcPr>
            <w:tcW w:w="540" w:type="dxa"/>
            <w:vAlign w:val="bottom"/>
            <w:gridSpan w:val="2"/>
          </w:tcPr>
          <w:p>
            <w:pPr>
              <w:jc w:val="center"/>
              <w:ind w:left="371"/>
              <w:spacing w:after="0" w:line="18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21"/>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640" w:type="dxa"/>
            <w:vAlign w:val="bottom"/>
            <w:gridSpan w:val="3"/>
          </w:tcPr>
          <w:p>
            <w:pPr>
              <w:jc w:val="center"/>
              <w:ind w:left="29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9280" w:type="dxa"/>
            <w:vAlign w:val="bottom"/>
            <w:gridSpan w:val="2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640" w:type="dxa"/>
            <w:vAlign w:val="bottom"/>
            <w:gridSpan w:val="3"/>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7240" w:type="dxa"/>
            <w:vAlign w:val="bottom"/>
            <w:gridSpan w:val="12"/>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Legal Proceedings</w:t>
              </w:r>
            </w:hyperlink>
          </w:p>
        </w:tc>
        <w:tc>
          <w:tcPr>
            <w:tcW w:w="7940" w:type="dxa"/>
            <w:vAlign w:val="bottom"/>
            <w:gridSpan w:val="16"/>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640" w:type="dxa"/>
            <w:vAlign w:val="bottom"/>
            <w:gridSpan w:val="3"/>
          </w:tcPr>
          <w:p>
            <w:pPr>
              <w:jc w:val="center"/>
              <w:ind w:left="29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4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gridSpan w:val="20"/>
          </w:tcPr>
          <w:p>
            <w:pPr>
              <w:spacing w:after="0" w:line="190"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Market for Registrant’s Common Equity, Related Stockholder Matters and Issuer Purchases of Equity Securities</w:t>
              </w:r>
            </w:hyperlink>
          </w:p>
        </w:tc>
        <w:tc>
          <w:tcPr>
            <w:tcW w:w="1200" w:type="dxa"/>
            <w:vAlign w:val="bottom"/>
          </w:tcPr>
          <w:p>
            <w:pPr>
              <w:spacing w:after="0"/>
              <w:rPr>
                <w:sz w:val="16"/>
                <w:szCs w:val="16"/>
                <w:color w:val="auto"/>
              </w:rPr>
            </w:pPr>
          </w:p>
        </w:tc>
        <w:tc>
          <w:tcPr>
            <w:tcW w:w="640" w:type="dxa"/>
            <w:vAlign w:val="bottom"/>
            <w:gridSpan w:val="3"/>
          </w:tcPr>
          <w:p>
            <w:pPr>
              <w:jc w:val="center"/>
              <w:ind w:left="291"/>
              <w:spacing w:after="0" w:line="190"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Reserved</w:t>
              </w:r>
            </w:hyperlink>
          </w:p>
        </w:tc>
        <w:tc>
          <w:tcPr>
            <w:tcW w:w="1200" w:type="dxa"/>
            <w:vAlign w:val="bottom"/>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Management’s Discussion and Analysis of Financial Condition and Results of Operations</w:t>
              </w:r>
            </w:hyperlink>
          </w:p>
        </w:tc>
        <w:tc>
          <w:tcPr>
            <w:tcW w:w="2820" w:type="dxa"/>
            <w:vAlign w:val="bottom"/>
            <w:gridSpan w:val="4"/>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18"/>
                <w:szCs w:val="18"/>
                <w:color w:val="auto"/>
              </w:rPr>
            </w:pPr>
          </w:p>
        </w:tc>
        <w:tc>
          <w:tcPr>
            <w:tcW w:w="2820" w:type="dxa"/>
            <w:vAlign w:val="bottom"/>
            <w:gridSpan w:val="4"/>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4920" w:type="dxa"/>
            <w:vAlign w:val="bottom"/>
            <w:gridSpan w:val="7"/>
          </w:tcPr>
          <w:p>
            <w:pPr>
              <w:spacing w:after="0"/>
              <w:rPr>
                <w:sz w:val="18"/>
                <w:szCs w:val="18"/>
                <w:color w:val="auto"/>
              </w:rPr>
            </w:pPr>
          </w:p>
        </w:tc>
        <w:tc>
          <w:tcPr>
            <w:tcW w:w="640" w:type="dxa"/>
            <w:vAlign w:val="bottom"/>
            <w:gridSpan w:val="3"/>
          </w:tcPr>
          <w:p>
            <w:pPr>
              <w:jc w:val="center"/>
              <w:ind w:left="291"/>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Changes in and Disagreements with Accountants on Accounting and Financial Disclosure</w:t>
              </w:r>
            </w:hyperlink>
          </w:p>
        </w:tc>
        <w:tc>
          <w:tcPr>
            <w:tcW w:w="280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01">
              <w:r>
                <w:rPr>
                  <w:rFonts w:ascii="Arial" w:cs="Arial" w:eastAsia="Arial" w:hAnsi="Arial"/>
                  <w:sz w:val="15"/>
                  <w:szCs w:val="15"/>
                  <w:color w:val="0000FF"/>
                  <w:w w:val="71"/>
                </w:rPr>
                <w:t>102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928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Controls and Procedures</w:t>
              </w:r>
            </w:hyperlink>
          </w:p>
        </w:tc>
        <w:tc>
          <w:tcPr>
            <w:tcW w:w="1000" w:type="dxa"/>
            <w:vAlign w:val="bottom"/>
            <w:gridSpan w:val="4"/>
          </w:tcPr>
          <w:p>
            <w:pPr>
              <w:jc w:val="center"/>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102</w:t>
              </w:r>
            </w:hyperlink>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Other Information</w:t>
              </w:r>
            </w:hyperlink>
          </w:p>
        </w:tc>
        <w:tc>
          <w:tcPr>
            <w:tcW w:w="420" w:type="dxa"/>
            <w:vAlign w:val="bottom"/>
            <w:tcBorders>
              <w:top w:val="single" w:sz="8" w:color="0000FF"/>
            </w:tcBorders>
            <w:gridSpan w:val="2"/>
          </w:tcPr>
          <w:p>
            <w:pPr>
              <w:spacing w:after="0"/>
              <w:rPr>
                <w:sz w:val="18"/>
                <w:szCs w:val="18"/>
                <w:color w:val="auto"/>
              </w:rPr>
            </w:pPr>
          </w:p>
        </w:tc>
        <w:tc>
          <w:tcPr>
            <w:tcW w:w="752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2">
              <w:r>
                <w:rPr>
                  <w:rFonts w:ascii="Arial" w:cs="Arial" w:eastAsia="Arial" w:hAnsi="Arial"/>
                  <w:sz w:val="15"/>
                  <w:szCs w:val="15"/>
                  <w:color w:val="0000FF"/>
                  <w:w w:val="71"/>
                </w:rPr>
                <w:t>102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9280" w:type="dxa"/>
            <w:vAlign w:val="bottom"/>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Disclosure Regarding Foreign Jurisdictions that Prevent Inspection</w:t>
              </w:r>
            </w:hyperlink>
          </w:p>
        </w:tc>
        <w:tc>
          <w:tcPr>
            <w:tcW w:w="1000" w:type="dxa"/>
            <w:vAlign w:val="bottom"/>
            <w:gridSpan w:val="4"/>
          </w:tcPr>
          <w:p>
            <w:pPr>
              <w:jc w:val="cente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3"/>
          </w:tcPr>
          <w:p>
            <w:pPr>
              <w:spacing w:after="0" w:line="190"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Directors, Executive Officers and Corporate Governance</w:t>
              </w:r>
            </w:hyperlink>
          </w:p>
        </w:tc>
        <w:tc>
          <w:tcPr>
            <w:tcW w:w="518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103</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9280" w:type="dxa"/>
            <w:vAlign w:val="bottom"/>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Executive Compensation</w:t>
              </w:r>
            </w:hyperlink>
          </w:p>
        </w:tc>
        <w:tc>
          <w:tcPr>
            <w:tcW w:w="1000" w:type="dxa"/>
            <w:vAlign w:val="bottom"/>
            <w:gridSpan w:val="4"/>
          </w:tcPr>
          <w:p>
            <w:pPr>
              <w:jc w:val="cente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280" w:type="dxa"/>
            <w:vAlign w:val="bottom"/>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Security Ownership of Certain Beneficial Owners and Management and Related Stockholder Matters</w:t>
              </w:r>
            </w:hyperlink>
          </w:p>
        </w:tc>
        <w:tc>
          <w:tcPr>
            <w:tcW w:w="1000" w:type="dxa"/>
            <w:vAlign w:val="bottom"/>
            <w:gridSpan w:val="4"/>
          </w:tcPr>
          <w:p>
            <w:pPr>
              <w:jc w:val="center"/>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9"/>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Certain Relationships and Related Transactions, and Director Independence</w:t>
              </w:r>
            </w:hyperlink>
          </w:p>
        </w:tc>
        <w:tc>
          <w:tcPr>
            <w:tcW w:w="20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103</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6"/>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Principal Accountant Fees and Services</w:t>
              </w:r>
            </w:hyperlink>
          </w:p>
        </w:tc>
        <w:tc>
          <w:tcPr>
            <w:tcW w:w="384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103</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8"/>
              </w:rPr>
              <w:t>PART IV</w:t>
            </w:r>
          </w:p>
        </w:tc>
        <w:tc>
          <w:tcPr>
            <w:tcW w:w="4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280" w:type="dxa"/>
            <w:vAlign w:val="bottom"/>
            <w:gridSpan w:val="21"/>
          </w:tcPr>
          <w:p>
            <w:pPr>
              <w:spacing w:after="0" w:line="190" w:lineRule="exact"/>
              <w:rPr>
                <w:rFonts w:ascii="Arial" w:cs="Arial" w:eastAsia="Arial" w:hAnsi="Arial"/>
                <w:sz w:val="18"/>
                <w:szCs w:val="18"/>
                <w:color w:val="0000FF"/>
              </w:rPr>
            </w:pPr>
            <w:hyperlink w:anchor="page104">
              <w:r>
                <w:rPr>
                  <w:rFonts w:ascii="Arial" w:cs="Arial" w:eastAsia="Arial" w:hAnsi="Arial"/>
                  <w:sz w:val="18"/>
                  <w:szCs w:val="18"/>
                  <w:color w:val="0000FF"/>
                </w:rPr>
                <w:t>Exhibit and Financial Statement Schedules</w:t>
              </w:r>
            </w:hyperlink>
          </w:p>
        </w:tc>
        <w:tc>
          <w:tcPr>
            <w:tcW w:w="1000" w:type="dxa"/>
            <w:vAlign w:val="bottom"/>
            <w:gridSpan w:val="4"/>
          </w:tcPr>
          <w:p>
            <w:pPr>
              <w:jc w:val="center"/>
              <w:spacing w:after="0" w:line="190" w:lineRule="exact"/>
              <w:rPr>
                <w:rFonts w:ascii="Arial" w:cs="Arial" w:eastAsia="Arial" w:hAnsi="Arial"/>
                <w:sz w:val="18"/>
                <w:szCs w:val="18"/>
                <w:color w:val="0000FF"/>
                <w:w w:val="93"/>
              </w:rPr>
            </w:pPr>
            <w:hyperlink w:anchor="page104">
              <w:r>
                <w:rPr>
                  <w:rFonts w:ascii="Arial" w:cs="Arial" w:eastAsia="Arial" w:hAnsi="Arial"/>
                  <w:sz w:val="18"/>
                  <w:szCs w:val="18"/>
                  <w:color w:val="0000FF"/>
                  <w:w w:val="93"/>
                </w:rPr>
                <w:t>104</w:t>
              </w:r>
            </w:hyperlink>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3080" w:type="dxa"/>
            <w:vAlign w:val="bottom"/>
            <w:tcBorders>
              <w:top w:val="single" w:sz="8" w:color="0000FF"/>
            </w:tcBorders>
            <w:gridSpan w:val="11"/>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Form 10-K Summary</w:t>
              </w:r>
            </w:hyperlink>
          </w:p>
        </w:tc>
        <w:tc>
          <w:tcPr>
            <w:tcW w:w="6200" w:type="dxa"/>
            <w:vAlign w:val="bottom"/>
            <w:gridSpan w:val="10"/>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09">
              <w:r>
                <w:rPr>
                  <w:rFonts w:ascii="Arial" w:cs="Arial" w:eastAsia="Arial" w:hAnsi="Arial"/>
                  <w:sz w:val="15"/>
                  <w:szCs w:val="15"/>
                  <w:color w:val="0000FF"/>
                  <w:w w:val="71"/>
                </w:rPr>
                <w:t>109</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7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5"/>
              </w:rPr>
            </w:pPr>
            <w:hyperlink w:anchor="page109">
              <w:r>
                <w:rPr>
                  <w:rFonts w:ascii="Arial" w:cs="Arial" w:eastAsia="Arial" w:hAnsi="Arial"/>
                  <w:sz w:val="18"/>
                  <w:szCs w:val="18"/>
                  <w:color w:val="0000FF"/>
                  <w:w w:val="85"/>
                </w:rPr>
                <w:t>Signatures</w:t>
              </w:r>
            </w:hyperlink>
          </w:p>
        </w:tc>
        <w:tc>
          <w:tcPr>
            <w:tcW w:w="780" w:type="dxa"/>
            <w:vAlign w:val="bottom"/>
            <w:tcBorders>
              <w:top w:val="single" w:sz="8" w:color="0000FF"/>
            </w:tcBorders>
            <w:gridSpan w:val="3"/>
          </w:tcPr>
          <w:p>
            <w:pPr>
              <w:spacing w:after="0"/>
              <w:rPr>
                <w:sz w:val="18"/>
                <w:szCs w:val="18"/>
                <w:color w:val="auto"/>
              </w:rPr>
            </w:pPr>
          </w:p>
        </w:tc>
        <w:tc>
          <w:tcPr>
            <w:tcW w:w="774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09">
              <w:r>
                <w:rPr>
                  <w:rFonts w:ascii="Arial" w:cs="Arial" w:eastAsia="Arial" w:hAnsi="Arial"/>
                  <w:sz w:val="15"/>
                  <w:szCs w:val="15"/>
                  <w:color w:val="0000FF"/>
                  <w:w w:val="71"/>
                </w:rPr>
                <w:t>110</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634365</wp:posOffset>
            </wp:positionV>
            <wp:extent cx="3257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-53340</wp:posOffset>
            </wp:positionV>
            <wp:extent cx="6591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Annual Report on Form 10-K (this “Annual Report”) , "we," "our," "us," "XPO Logistics, Inc.," and "the Company" refer to XPO Logistics, Inc. and its consolidated subsidiaries, unless the context requires otherwise.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This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XPO Logistics, Inc., together with its subsidiaries, is a leading provider of freight transportation services. We use our proprietary technology to move goods efficiently through our customers’ supply chains, primarily by providing less-than-truckload (“LTL”) and truck brokerage services. These two core lines of business generated the majority of our 2021 revenue and operating income.</w:t>
      </w:r>
    </w:p>
    <w:p>
      <w:pPr>
        <w:spacing w:after="0" w:line="13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Our company has two reportable segments — (i) North American LTL and (ii) Brokerage and Other Services — and within each segment, we are a leading provider in vast, fragmented transportation sectors with growing penetration. As of December 31, 2021, we had approximately 42,000 employees and 771 locations in 20 countries serving over 50,000 multinational, national, regional and local customers. In addition to our scale, we believe that our substantial exposure to secular industry growth trends, our first-mover advantage as an innovator and our blue-chip customer relationships are compelling competitive advantages.</w:t>
      </w:r>
    </w:p>
    <w:p>
      <w:pPr>
        <w:spacing w:after="0" w:line="13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continue to closely monitor the impact of the COVID-19 pandemic and supply chain challenges on all aspects of our business, including how they affect our employees, customers and business partners. See “Impacts of COVID-19 and Supply Chain Challenges” in Part II,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 of the Logistics Segment</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 2021, we completed the previously announced spin-off of our Logistics segment in a transaction intended to qualify as tax-free to XPO and our stockholders for U.S. federal income tax purposes, which was accomplished by the distribution of 100% of the outstanding common stock of GXO Logistics, Inc. (“GXO”) to XPO stockholders. XPO stockholders received one share of GXO common stock for every share of XPO common stock held at the close of business on July 23, 2021, the record date for the distribution. XPO does not beneficially own any shares of GXO’s common stock following the spin-off. GXO is an independent public company trading under the symbol “GXO” on the New York Stock Exchange. The historical results of GXO are presented as discontinued operations and, as such, have been excluded from both continuing operations and segment results for all periods presented. Unless otherwise indicated, all amounts in this Annual Report refer to continuing operations, including comparisons to the prior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American Less-Than-Truckload Segment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XPO is a top three provider of LTL services in North America — we have one of the industry’s largest asset-based networks of tractors, trailers, drivers and terminals, and approximately 8% share of the $42 billion LTL market as of December 31, 2020. We provide our customers with geographic density and day-definite regional, inter-regional and transcontinental LTL freight services. Our services include cross-border U.S. freight movements to and from Mexico and Canada, as well as intra-Canada service.</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relationships with approximately 25,000 LTL customers in North America, the majority of which are local accounts. For the year ended December 31, 2021, we delivered approximately 13 million LTL shipments.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reliable national capacity, the other key factors driving our LTL growth and margin expansion are our proprietary technology and the industry’s favorable fundamentals: limited commoditization, rational pricing dynamics, rising industrial demand and the continued growth of e-commerce, which is driving frequent shipments of freight that doesn’t require an entire truck.</w:t>
      </w:r>
    </w:p>
    <w:p>
      <w:pPr>
        <w:spacing w:after="0" w:line="13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Specific to XPO, we believe that we have a significant opportunity to leverage our technology to improve LTL profitability beyond the sizable margin gains we have already achieved. We use intelligent route-building to move LTL freight across North America, and proprietary visualization tools to help reduce the cost of pickups and deliveries. Our XPO Smart™ productivity tools are deployed in our LTL yards and cross-dock operations, and we have developed a pricing platform that enables our pricing experts to be much more productive and will enhance our ability to price in a dynamic marketplace.</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taking action in the five areas of our previously announced action plan to drive growth and enhance network efficiencies in our LTL business. We began executing the plan in October 2021. The five areas of our plan are:</w:t>
      </w:r>
    </w:p>
    <w:p>
      <w:pPr>
        <w:spacing w:after="0" w:line="116"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Improve network flow. </w:t>
      </w:r>
      <w:r>
        <w:rPr>
          <w:rFonts w:ascii="Arial" w:cs="Arial" w:eastAsia="Arial" w:hAnsi="Arial"/>
          <w:sz w:val="18"/>
          <w:szCs w:val="18"/>
          <w:color w:val="auto"/>
        </w:rPr>
        <w:t>Our targeted fourth quarter 2021 initiatives have significantly improved network fluidity, while generating stronger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in areas such as on-time transit and freight handling as the quarter progressed;</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Drive pricing. </w:t>
      </w:r>
      <w:r>
        <w:rPr>
          <w:rFonts w:ascii="Arial" w:cs="Arial" w:eastAsia="Arial" w:hAnsi="Arial"/>
          <w:sz w:val="17"/>
          <w:szCs w:val="17"/>
          <w:color w:val="auto"/>
        </w:rPr>
        <w:t>We pulled our typical January 2022 general rate increase forward to November 2021 and instituted accessorial charges for detained</w:t>
      </w:r>
      <w:r>
        <w:rPr>
          <w:rFonts w:ascii="Arial" w:cs="Arial" w:eastAsia="Arial" w:hAnsi="Arial"/>
          <w:sz w:val="17"/>
          <w:szCs w:val="17"/>
          <w:i w:val="1"/>
          <w:iCs w:val="1"/>
          <w:color w:val="auto"/>
        </w:rPr>
        <w:t xml:space="preserve"> </w:t>
      </w:r>
      <w:r>
        <w:rPr>
          <w:rFonts w:ascii="Arial" w:cs="Arial" w:eastAsia="Arial" w:hAnsi="Arial"/>
          <w:sz w:val="17"/>
          <w:szCs w:val="17"/>
          <w:color w:val="auto"/>
        </w:rPr>
        <w:t>trailers, oversized freight and special handling, contributing to record 11% growth in yield, excluding fuel, in the fourth quarter;</w:t>
      </w:r>
    </w:p>
    <w:p>
      <w:pPr>
        <w:spacing w:after="0" w:line="92"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 the driver base. </w:t>
      </w:r>
      <w:r>
        <w:rPr>
          <w:rFonts w:ascii="Arial" w:cs="Arial" w:eastAsia="Arial" w:hAnsi="Arial"/>
          <w:sz w:val="18"/>
          <w:szCs w:val="18"/>
          <w:color w:val="auto"/>
        </w:rPr>
        <w:t>We graduated approximately 900 professional drivers from our driver training schools in 2021, exceeding our goal,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double the number of 2021 graduates in 2022;</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Increase trailer production. </w:t>
      </w:r>
      <w:r>
        <w:rPr>
          <w:rFonts w:ascii="Arial" w:cs="Arial" w:eastAsia="Arial" w:hAnsi="Arial"/>
          <w:sz w:val="18"/>
          <w:szCs w:val="18"/>
          <w:color w:val="auto"/>
        </w:rPr>
        <w:t>In January 2022, we added a second production line at our Searcy, Arkansas trailer manufacturing facility.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double the number of units produced in 2022 year-over-year;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8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footprint by 900 net new doors (approximately 6%) by year-end 2023. </w:t>
      </w:r>
      <w:r>
        <w:rPr>
          <w:rFonts w:ascii="Arial" w:cs="Arial" w:eastAsia="Arial" w:hAnsi="Arial"/>
          <w:sz w:val="16"/>
          <w:szCs w:val="16"/>
          <w:color w:val="auto"/>
        </w:rPr>
        <w:t>We added a total 149 net doors to the network from October 2021</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January 2022 with the opening of three new terminals: Chicago Heights, Illinois; Sheboygan, Wisconsin; and Texarkana, Arkansas. Additionally, we plan to open new fleet maintenance shops in Ohio, Florida, New York and Nevada in the first quarter of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Other Services Segment</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XPO is the second largest truck broker worldwide, and one of the largest in North America, with approximately 3% share of the $80 billion North American market as of December 31, 2021. Shippers create truckload demand and we place their freight with qualified carriers, pricing our service on either a spot or contract basis. Our truck brokerage business has an agile, non-asset model with a variable labor structure that generates a high return on invested capital and free cash flow conversion.</w:t>
      </w:r>
    </w:p>
    <w:p>
      <w:pPr>
        <w:spacing w:after="0" w:line="13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key factors driving growth and margin expansion in our truck brokerage business are massive capacity, cutting-edge technology and favorable industry tailwinds. The demand for truckload capacity in the e-commerce and omnichannel retail sectors is growing rapidly. At the same time, more and more shippers are outsourcing to brokers and increasingly preferring brokers like XPO that offer digital capabilities.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2021, we had approximately 98,000 independent truckload carriers in our global brokerage network, representing more than a million trucks. We provide our customers with digital access to truckload capacity through our XPO Connect® brokerage technology. This proprietary platform is a major differentiator for our business and, together with our pricing technology, we believe it can unlock incremental profitable growth well beyond our current levels.</w:t>
      </w:r>
    </w:p>
    <w:p>
      <w:pPr>
        <w:spacing w:after="0" w:line="133"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Our Brokerage and Other Services segment also includes exposure to a fast-growing brokerage subsector — last mile logistics for heavy goods sold through e-commerce, omnichannel retail and direct-to-consumer channels. XPO is the largest last mile provider for heavy goods in North America.</w:t>
      </w:r>
    </w:p>
    <w:p>
      <w:pPr>
        <w:spacing w:after="0" w:line="7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Several other non-core brokered freight transportation modes are included in this segment, as well as our European service offering. XPO holds leading positions in key geographies in Europe: we are the No. 1 truck broker and the No. 1 LTL provider in France and Iberia (Spain / Portugal), and the No. 3 truck broker in the U.K., where we also have the largest single-owner LTL network.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and Sustainability</w:t>
      </w:r>
    </w:p>
    <w:p>
      <w:pPr>
        <w:spacing w:after="0" w:line="17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first-mover advantage as an industry innovator is rooted in the more than $3 billion we have spent on technology on all operations since 2011. We concentrate our efforts on creating “smart” supply chains that create meaningful value for our shareholders and our customers.</w:t>
      </w:r>
    </w:p>
    <w:p>
      <w:pPr>
        <w:spacing w:after="0" w:line="9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Technology is a major competitive differentiator for us. We use it to serve our customers better and make the most of the talent and assets within our organization. Our cloud-based ecosystem speeds the deployment of new ways to deliver transportation services to customer sectors that are increasingly interested in digitization and automation.</w:t>
      </w:r>
    </w:p>
    <w:p>
      <w:pPr>
        <w:spacing w:after="0" w:line="13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Environmental sustainability is another significant priority for us, and one that is increasingly connected to our technology. Our entire business model is based on transporting freight as efficiently as possible. This fosters our ability to improve our carbon footprint over time by reducing empty miles, maintaining a modern fleet and executing company-specific initiatives, such as training our drivers in eco-friendly techniques.</w:t>
      </w:r>
    </w:p>
    <w:p>
      <w:pPr>
        <w:spacing w:after="0" w:line="1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We’re committed to reducing the impact of our operations on the environment, especially with respect to climate change and biodiversity, while helping our customers do the same. In 2020, we developed a scorecard to provide a progressive means of evaluating the management of our Environmental, Social and Governance (“ESG”) initiatives and incentivizing long-term, successive achievements. Our ESG scorecard tracks measurable progress with our environmental initiatives over four years, taking into account lead time requirements, category weighting and target variances.</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environmental initiatives within the scorecard encompass strategic objectives of reducing fossil fuel dependency, carbon emissions and carbon footprint, nitrogen oxide emissions and waste. These objectives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underpinned by specific goals — for example, we’re working to achieve greater fuel efficiency in our managed transportation business, with an annual goal of averaging at least seven miles per gallon every year for four years. We also set a goal to reduce carbon emissions in our LTL business by increasing the load factor rate by at least 2% over the performance period. Together with five other categories of ESG-related targets, the environmental initiatives in our ESG scorecard provide a roadmap for XPO.</w:t>
      </w:r>
    </w:p>
    <w:p>
      <w:pPr>
        <w:spacing w:after="0" w:line="133" w:lineRule="exact"/>
        <w:rPr>
          <w:sz w:val="20"/>
          <w:szCs w:val="20"/>
          <w:color w:val="auto"/>
        </w:rPr>
      </w:pPr>
    </w:p>
    <w:p>
      <w:pPr>
        <w:ind w:right="1900"/>
        <w:spacing w:after="0" w:line="438" w:lineRule="auto"/>
        <w:rPr>
          <w:sz w:val="20"/>
          <w:szCs w:val="20"/>
          <w:color w:val="auto"/>
        </w:rPr>
      </w:pPr>
      <w:r>
        <w:rPr>
          <w:rFonts w:ascii="Arial" w:cs="Arial" w:eastAsia="Arial" w:hAnsi="Arial"/>
          <w:sz w:val="18"/>
          <w:szCs w:val="18"/>
          <w:color w:val="auto"/>
        </w:rPr>
        <w:t xml:space="preserve">As we execute our sustainability strategy, we’re focusing on three critical areas: our transportation fleet, technology and facilities. </w:t>
      </w:r>
      <w:r>
        <w:rPr>
          <w:rFonts w:ascii="Arial" w:cs="Arial" w:eastAsia="Arial" w:hAnsi="Arial"/>
          <w:sz w:val="18"/>
          <w:szCs w:val="18"/>
          <w:i w:val="1"/>
          <w:iCs w:val="1"/>
          <w:color w:val="auto"/>
        </w:rPr>
        <w:t>Transportation Fleet</w:t>
      </w:r>
    </w:p>
    <w:p>
      <w:pPr>
        <w:spacing w:after="0" w:line="1"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Our business relies heavily on the availability and pricing of diesel fuel to provide our transportation services. In 2021, we switched to 100% premium diesel for our fleet. Because premium diesel is higher in cetane — analogous to octane in gasoline — it burns cleaner, lubricates better and runs more smoothly. On the road, this translates to fuel savings in the range of 1.8% to 2.5%, with commensurate reductions in carbon emissions.</w:t>
      </w:r>
    </w:p>
    <w:p>
      <w:pPr>
        <w:spacing w:after="0" w:line="9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ongoing fleet initiatives include modernizing our tractors and trailers; deploying cleaner fuels where practical, such as natural gas, biogas and electricity; expanding our use of data and software analytics to improve the efficiency of routing, loading and handling freight; and exploring the use of lighter vehicles with a smaller environmental footprint. Our scale gives us the ability to explore options locally and replicate improvements across our company.</w:t>
      </w:r>
    </w:p>
    <w:p>
      <w:pPr>
        <w:spacing w:after="0" w:line="13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North American LTL, we’re investing in replacing many of our older tractors and trailers, including more than $100 million allocated to buy approximately 1,000 new tractors in 2022. The supply chain challenges related to the COVID-19 pandemic delayed the retirement of older tractors and limited our ability to secure new models in 2021. As newer vehicles become available, we will continue to introduce trucks with 15-liter engines and automatic transmissions that improve reliability and fuel economy, while lowering emissions and extending engine life.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Europe, over 90% of our diesel road fleet is compliant with Euro VI standards, and we have a natural gas-powered fleet of more than 250 total trucks in France, the U.K., Spain and Portugal. We also use government-approved mega-trucks in Spain to transport more freight with fewer trips. We’re currently testing the use of longer, duo-trailer vehicles that have the potential to reduce CO2 emissions by an estimated 25% to 30% per trip, compared with the same freight moved on traditional trucks. In 2021, we piloted the first fully electric commercial trucks in our fleets in Spain and France, and our last mile business uses electric vehicles for certain deliveries, reducing those emissions to zero.</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Electric vehicles show promise in commercial transport applications, particularly as a zero-emission alternative to diesel for urban service. Our fleet experts are working with manufacturers to test the commercial viability of larger electric vehicles, and we put our first electric truck into service in 2021. This initiative is serving as a valuable pilot to advance our understanding of how and where to best use electric vehicles.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many of our customers, the transportation components of their supply chain account for a significant portion of their CO2 footprint. We use machine learning and other technologies, leveraged by our scale, to coordinate the movement of goods in ways that are greener, safer, more efficient and more cost-effective.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four key priorities are:</w:t>
      </w:r>
    </w:p>
    <w:p>
      <w:pPr>
        <w:spacing w:after="0" w:line="171" w:lineRule="exact"/>
        <w:rPr>
          <w:sz w:val="20"/>
          <w:szCs w:val="20"/>
          <w:color w:val="auto"/>
        </w:rPr>
      </w:pPr>
    </w:p>
    <w:p>
      <w:pPr>
        <w:ind w:left="660" w:right="32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Improved utilization of truck capacity. </w:t>
      </w:r>
      <w:r>
        <w:rPr>
          <w:rFonts w:ascii="Arial" w:cs="Arial" w:eastAsia="Arial" w:hAnsi="Arial"/>
          <w:sz w:val="17"/>
          <w:szCs w:val="17"/>
          <w:color w:val="auto"/>
        </w:rPr>
        <w:t>In our LTL business, our routing algorithms are designed to keep our trucks fuller over more miles, thus</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“empty miles.” In our truck brokerage business, our XPO Connect® digital platform matches shippers with carriers for the optimal movements of freight, reducing inefficiencies and sourcing backhauls for carriers with empty trucks following deliveries.</w:t>
      </w:r>
    </w:p>
    <w:p>
      <w:pPr>
        <w:spacing w:after="0" w:line="111"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Enhanced driver performance. </w:t>
      </w:r>
      <w:r>
        <w:rPr>
          <w:rFonts w:ascii="Arial" w:cs="Arial" w:eastAsia="Arial" w:hAnsi="Arial"/>
          <w:sz w:val="18"/>
          <w:szCs w:val="18"/>
          <w:color w:val="auto"/>
        </w:rPr>
        <w:t>XPO drivers receive eco-training to reinforce techniques for fuel efficiency, and we digitally track drivers’ habits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road. This helps us improve their individual driving efficiency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right="2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Data-driven visibility. </w:t>
      </w:r>
      <w:r>
        <w:rPr>
          <w:rFonts w:ascii="Arial" w:cs="Arial" w:eastAsia="Arial" w:hAnsi="Arial"/>
          <w:sz w:val="18"/>
          <w:szCs w:val="18"/>
          <w:color w:val="auto"/>
        </w:rPr>
        <w:t>Our technology follows a shipment from pickup to delivery, with real-time visibility into where goods are and when they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delivered. Digital tracking mitigates inefficiencies and allows us to assimilate data into future planning models to improve accuracy and performance.</w:t>
      </w:r>
    </w:p>
    <w:p>
      <w:pPr>
        <w:spacing w:after="0" w:line="129" w:lineRule="exact"/>
        <w:rPr>
          <w:rFonts w:ascii="Arial" w:cs="Arial" w:eastAsia="Arial" w:hAnsi="Arial"/>
          <w:sz w:val="18"/>
          <w:szCs w:val="18"/>
          <w:color w:val="auto"/>
        </w:rPr>
      </w:pPr>
    </w:p>
    <w:p>
      <w:pPr>
        <w:ind w:left="660" w:right="2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Emissions reduction. </w:t>
      </w:r>
      <w:r>
        <w:rPr>
          <w:rFonts w:ascii="Arial" w:cs="Arial" w:eastAsia="Arial" w:hAnsi="Arial"/>
          <w:sz w:val="16"/>
          <w:szCs w:val="16"/>
          <w:color w:val="auto"/>
        </w:rPr>
        <w:t>We use big data to predict freight volumes and plan capacity, which helps us determine the optimal vehicle or mode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In some cases, we can shift non-urgent loads to reliable, lower-carbon options, such as rail. In 2021, XPO moved 217,000 rail shipments in the U.S., which reduced greenhouse gas emissions by over 540,000 metric tons, compared with moving the same freight by truck.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expertise in the circular economy continues to enhance the eco-profile of our facilities and operating practices. We have ongoing initiatives underway to install LED lighting in our buildings, reuse pallets, right-size packaging and incorporate other environmentally friendly processes into our operations. We cut waste by reusing materials where feasible and recycling a growing share of waste.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For more information on how XPO is working to improve sustainability through operational excellence, innovation and a progressive employment environment, see </w:t>
      </w:r>
      <w:r>
        <w:rPr>
          <w:rFonts w:ascii="Arial" w:cs="Arial" w:eastAsia="Arial" w:hAnsi="Arial"/>
          <w:sz w:val="18"/>
          <w:szCs w:val="18"/>
          <w:u w:val="single" w:color="auto"/>
          <w:color w:val="auto"/>
        </w:rPr>
        <w:t>sustainability.xpo.com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strategy is to help customers move their goods most efficiently through their supply chains. We deliver value in the form of technological innovations, process efficiencies, cost efficiencies and reliable outcomes. Our services are both highly responsive to customer goals, such as mitigating environmental impacts over time, and proactive in identifying potential improvements. Most important, we have instilled a culture that defines success as mutually beneficial results for our company and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Management’s growth and optimization strategy is to:</w:t>
      </w:r>
    </w:p>
    <w:p>
      <w:pPr>
        <w:spacing w:after="0" w:line="171" w:lineRule="exact"/>
        <w:rPr>
          <w:sz w:val="20"/>
          <w:szCs w:val="20"/>
          <w:color w:val="auto"/>
        </w:rPr>
      </w:pPr>
    </w:p>
    <w:p>
      <w:pPr>
        <w:ind w:left="660" w:right="7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our solutions and vertical expertise to new and existing customers of all sizes, using a partnership approach that creates enduring relationships;</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positioning to increasingly capitalize on secular trends in demand, such as the rapid growth of e-commerce and the heightened customer interest in outsourcing freight transportation;</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 and retain talented sales and customer service representatives, and continuously improve their productivity with state-of-the-art training and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high-caliber independent contracted carriers and independent brokered carriers for our non-asset services; and</w:t>
      </w:r>
    </w:p>
    <w:p>
      <w:pPr>
        <w:spacing w:after="0" w:line="171" w:lineRule="exact"/>
        <w:rPr>
          <w:rFonts w:ascii="Arial" w:cs="Arial" w:eastAsia="Arial" w:hAnsi="Arial"/>
          <w:sz w:val="18"/>
          <w:szCs w:val="18"/>
          <w:color w:val="auto"/>
        </w:rPr>
      </w:pPr>
    </w:p>
    <w:p>
      <w:pPr>
        <w:ind w:right="440" w:firstLine="332"/>
        <w:spacing w:after="0" w:line="438"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with a focus on automation and analytics that drive productivity and market share gains. Additionally, each of our core businesses executes a strategy of competitive differentiation:</w:t>
      </w:r>
    </w:p>
    <w:p>
      <w:pPr>
        <w:ind w:left="660" w:right="4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North American LTL — recruit and retain quality drivers for our fleet, and best utilize our capacities of drivers, equipment, terminals and technology for a superior customer experience;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truck brokerage — leverage the advantages of our proprietary XPO Connect® digital marketplace to grow our share of the brokerage sector and penetrate the for-hire trucking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 and Intellectual Property</w:t>
      </w:r>
    </w:p>
    <w:p>
      <w:pPr>
        <w:spacing w:after="0" w:line="17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One of the ways in which we strengthen our relationships with customers is by empowering our employees to deliver superior service through our technology. Our industry is evolving, and customers want to de-risk their supply chains through robust visibility and digitization. We are already well-positioned to provide this value to customers, because we prioritized visibility, control and automation early in the development of our proprietary technology.</w:t>
      </w:r>
    </w:p>
    <w:p>
      <w:pPr>
        <w:spacing w:after="0" w:line="13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have built a highly scalable platform on the cloud that enables us to deploy innovations across multiple geographies in a relatively short time, and also take an innovation developed for one of our services and apply it to other services. This differentiates the value we offer and gives our larger accounts an added incentive to use us.</w:t>
      </w:r>
    </w:p>
    <w:p>
      <w:pPr>
        <w:spacing w:after="0" w:line="13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believe that our investment in technology is among the highest in our industry at an annual average of approximately $300 million. The most significant impacts of our technology to date are in these areas:</w:t>
      </w:r>
    </w:p>
    <w:p>
      <w:pPr>
        <w:spacing w:after="0" w:line="1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XPO Connect® </w:t>
      </w:r>
      <w:r>
        <w:rPr>
          <w:rFonts w:ascii="Arial" w:cs="Arial" w:eastAsia="Arial" w:hAnsi="Arial"/>
          <w:sz w:val="18"/>
          <w:szCs w:val="18"/>
          <w:color w:val="auto"/>
        </w:rPr>
        <w:t>is our proprietary digital freight marketplace; it encompasses our core Freight Optimizer system, shipper interface, API integration,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engine, tracking engine, carrier interface and our carrier mobile app, called Drive XPO®. This fully automated, self-learning digital freight platform gives us a scalable framework to continually improve our service, capture share and reduce costs.</w:t>
      </w:r>
    </w:p>
    <w:p>
      <w:pPr>
        <w:spacing w:after="0" w:line="13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XPO Connect® gives shippers access to our transportation network and market data, while freight carriers transact to secure loads through the app. As of December 31, 2021, we had approximately 98,000 carriers registered for XPO Connect® globally and over 600,000 cumulative truck driver downloads of the app. In the fourth quarter of 2021, 70% of our brokerage orders in North America were created or covered digitally.</w:t>
      </w:r>
    </w:p>
    <w:p>
      <w:pPr>
        <w:spacing w:after="0" w:line="1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LTL, our technology focuses on optimizing the main components of the service we provide: linehaul, pickup-and-delivery and pricing. Our North American LTL linehaul network moved freight approximately 2.5 million miles a day on average in 2021. In total, we moved 18 billion pounds of LTL freight 758 million miles in 2021.</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intelligent route-building, we can reduce empty miles in our linehaul network, improve load factor and mitigate cargo damage. Our proprietary bypass models assimilate massive amounts of data to arrive at recommendations based on volume and density, taking freight dimensions into account to identify gaps in trailer utilization. With pickup-and-delivery, we are focused on optimizing routing, pricing management, trailer utilization, exception management and dock productivity through our technology.</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XPO Smart™ </w:t>
      </w:r>
      <w:r>
        <w:rPr>
          <w:rFonts w:ascii="Arial" w:cs="Arial" w:eastAsia="Arial" w:hAnsi="Arial"/>
          <w:sz w:val="16"/>
          <w:szCs w:val="16"/>
          <w:color w:val="auto"/>
        </w:rPr>
        <w:t>is our proprietary suite of intelligent tools and analytics that self-adjusts site by site to drive productivity across our LTL terminal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Our software incorporates dynamic data science, predictive analytics and machine learning to aid our managers in workflow decision-making. We use XPO</w:t>
      </w:r>
    </w:p>
    <w:p>
      <w:pPr>
        <w:spacing w:after="0"/>
        <w:rPr>
          <w:sz w:val="20"/>
          <w:szCs w:val="20"/>
          <w:color w:val="auto"/>
        </w:rPr>
      </w:pPr>
      <w:r>
        <w:rPr>
          <w:rFonts w:ascii="Arial" w:cs="Arial" w:eastAsia="Arial" w:hAnsi="Arial"/>
          <w:sz w:val="18"/>
          <w:szCs w:val="18"/>
          <w:color w:val="auto"/>
        </w:rPr>
        <w:t>Smart</w:t>
      </w:r>
      <w:r>
        <w:rPr>
          <w:rFonts w:ascii="Arial" w:cs="Arial" w:eastAsia="Arial" w:hAnsi="Arial"/>
          <w:sz w:val="21"/>
          <w:szCs w:val="21"/>
          <w:i w:val="1"/>
          <w:iCs w:val="1"/>
          <w:color w:val="auto"/>
        </w:rPr>
        <w:t>™</w:t>
      </w:r>
      <w:r>
        <w:rPr>
          <w:rFonts w:ascii="Arial" w:cs="Arial" w:eastAsia="Arial" w:hAnsi="Arial"/>
          <w:sz w:val="18"/>
          <w:szCs w:val="18"/>
          <w:color w:val="auto"/>
        </w:rPr>
        <w:t xml:space="preserve"> to improve our labor in a safe, disciplined and cost-effective manner.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provide services to more than 50,000 customers ranging in size from small, entrepreneurial organizations to Fortune 500 companies and global leaders. The diversification of our customer base minimizes concentration risk: in 2021, our top five customers combined accounted for approximately 9% of our revenue, with our largest customer accounting for approximately 3% of revenue.</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markets are also highly diversified. The customers we serve span every major industry and touch every part of the economy. Our revenue derives from a mix of key verticals, such as industrial and manufacturing, retail and e-commerce, food and beverage, logistics and transportation and consumer goods.</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market our services to customers with domestic and international supply chains, and primarily perform these services in North America and Europe. In 2021, approximately 72% of our total revenue was generated in the U.S., 11% in France, 7% in the U.K. and 6% in Europe (excluding France and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XPO operates in highly fragmented marketplaces along with thousands of companies competing domestically and internationally. We compete on quality of service, reliability, scope and scale of operations, technological capabilities, expertise and price.</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include local, regional, national and international companies that offer the same services we provide, including C.H. Robinson, FedEx, Old Dominion Freight Line and Saia. Some of our competitors have significantly more customers, resources and experience than we have, and some of our customers have sufficient internal resources to perform the services we offer. Due to the competitive nature of our marketplaces, we strive daily to strengthen existing business relationships and forge new relationships.</w:t>
      </w:r>
    </w:p>
    <w:p>
      <w:pPr>
        <w:spacing w:after="0" w:line="13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health of the freight transportation industry overall will continue to be a function of domestic and global economic growth. However, we believe that we have positioned XPO in fast-growing sectors to benefit from secular trends, such as the demand for e-commerce, omnichannel retail and supply chain outsourcing.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in the U.S. and in other countries where we conduct business. These regulations impact us directly and also indirectly when they regulate third-party providers we arrange and/or contract with to transport freight for our customers.</w:t>
      </w:r>
    </w:p>
    <w:p>
      <w:pPr>
        <w:spacing w:after="0" w:line="13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i w:val="1"/>
          <w:iCs w:val="1"/>
          <w:color w:val="auto"/>
        </w:rPr>
        <w:t xml:space="preserve">Regulations Affecting Motor Carriers, Owner-Operators and Transportation Brokers. </w:t>
      </w:r>
      <w:r>
        <w:rPr>
          <w:rFonts w:ascii="Arial" w:cs="Arial" w:eastAsia="Arial" w:hAnsi="Arial"/>
          <w:sz w:val="17"/>
          <w:szCs w:val="17"/>
          <w:color w:val="auto"/>
        </w:rPr>
        <w:t>In the U.S., our subsidiaries that operate as motor carriers, freight</w:t>
      </w:r>
      <w:r>
        <w:rPr>
          <w:rFonts w:ascii="Arial" w:cs="Arial" w:eastAsia="Arial" w:hAnsi="Arial"/>
          <w:sz w:val="17"/>
          <w:szCs w:val="17"/>
          <w:i w:val="1"/>
          <w:iCs w:val="1"/>
          <w:color w:val="auto"/>
        </w:rPr>
        <w:t xml:space="preserve"> </w:t>
      </w:r>
      <w:r>
        <w:rPr>
          <w:rFonts w:ascii="Arial" w:cs="Arial" w:eastAsia="Arial" w:hAnsi="Arial"/>
          <w:sz w:val="17"/>
          <w:szCs w:val="17"/>
          <w:color w:val="auto"/>
        </w:rPr>
        <w:t>forwarders, and freight transportation brokers are licensed by the Federal Motor Carrier Safety Administration (“FMCSA”) of the U.S. Department of Transportation (“DOT”). Our motor carrier subsidiaries and the third-party motor carriers we contract with in the U.S. must comply with the safety and fitness regulations of the DOT, including those related to, without limitation, controlled substances and alcohol, hours-of-service compliance, vehicle maintenance, hazardous materials compliance, driver fitness, unsafe driving, and minimum insurance requirements, as well as the Compliance Safety Accountability (“CSA”) program, which uses a Safety Measurement System (“SMS”) to rank motor carriers on seven categories of safety-related data, known as Behavioral Analysis and Safety Improvement Categories (“BASICs”).</w:t>
      </w:r>
    </w:p>
    <w:p>
      <w:pPr>
        <w:spacing w:after="0" w:line="12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Other federal agencies, such as the U.S. Environmental Protection Agency (“EPA”), the U.S. Food and Drug Administration (“FDA”), the California Air Resources Board (“CARB”) and the U.S. Department of Homeland Security (“DHS”), also regulate our equipment, operations, cargo and independent contractor drivers. We are also subject to a variety of vehicle registration and licensing requirements in certain states and local jurisdictions where we operate, as are the third-party carriers with which we contract. In foreign jurisdictions where we operate, our operations are regulated by the appropriate governmental authorities. We may become subject to new or more restrictive regulations relating to emissions, drivers’ hours-of-service, independent contractor eligibility requirements, onboard reporting of operations, air cargo security and other matters affecting safety or operating methods.</w:t>
      </w:r>
    </w:p>
    <w:p>
      <w:pPr>
        <w:spacing w:after="0" w:line="11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Regulations Affecting Our Subsidiaries Providing Ocean and Air Transportation. </w:t>
      </w:r>
      <w:r>
        <w:rPr>
          <w:rFonts w:ascii="Arial" w:cs="Arial" w:eastAsia="Arial" w:hAnsi="Arial"/>
          <w:sz w:val="16"/>
          <w:szCs w:val="16"/>
          <w:color w:val="auto"/>
        </w:rPr>
        <w:t>One of our subsidiaries, XPO Customs Clearance Solutions, LLC</w:t>
      </w:r>
      <w:r>
        <w:rPr>
          <w:rFonts w:ascii="Arial" w:cs="Arial" w:eastAsia="Arial" w:hAnsi="Arial"/>
          <w:sz w:val="16"/>
          <w:szCs w:val="16"/>
          <w:i w:val="1"/>
          <w:iCs w:val="1"/>
          <w:color w:val="auto"/>
        </w:rPr>
        <w:t xml:space="preserve"> </w:t>
      </w:r>
      <w:r>
        <w:rPr>
          <w:rFonts w:ascii="Arial" w:cs="Arial" w:eastAsia="Arial" w:hAnsi="Arial"/>
          <w:sz w:val="16"/>
          <w:szCs w:val="16"/>
          <w:color w:val="auto"/>
        </w:rPr>
        <w:t>(“XCCS”), is licensed as a U.S. Customs broker by the U.S. Customs and Border Protection (the “CBP”) of the DHS in each U.S. district where it performs services. All U.S. Customs brokers are required to maintain prescribed records and are subject to periodic audits by the CBP. In non-U.S. jurisdictions where we perform customs brokerage services, our operations are licensed, where necessary, by the appropriate governmental authorities.</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subsidiaries that offer expedited air charter transportation are subject to regulation by the Transportation Security Administration (“TSA”) of the DHS governing air cargo security for all loads, regardless of origin or destination. Some of our subsidiaries are regulated as “indirect air carriers” by the TSA. The CBP, TSA and relevant non-U.S. governmental agencies provide requirements and guidance and, in some cases, administer licensing requirements and processes applicable to the freight forwarding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547370</wp:posOffset>
            </wp:positionV>
            <wp:extent cx="3257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facilitate our international operations, XPO is a member of the International Air Transportation Association (“IATA”), a voluntary association of airlines and freight forwarders that outlines operating procedures for forwarders acting as agents or third-party intermediaries for IATA members. A substantial portion of our international air freight business is transacted with other IATA members.</w:t>
      </w:r>
    </w:p>
    <w:p>
      <w:pPr>
        <w:spacing w:after="0" w:line="13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Additionally, some of our subsidiaries are licensed as an Ocean Transportation Intermediary (“OTI”), since they operate as a non-vessel-operating common carrier (“NVOCC”), and/or as an Ocean Freight Forwarder (“OFF”) licensed by the U.S. Federal Maritime Commission (“FMC”), which establishes the qualifications, regulations, licensing and bonding requirements for arranging international transportation to or from the U.S. as an OTI.</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OTI operations are subject to regulations of the U.S. Department of State, the U.S. Department of Commerce, the U.S. Department of Treasury, the U.S. Department of Justice, and the Securities and Exchange Commission and to various laws and regulations of the other countries where we operate. These laws and regulations govern what commodities may be shipped to certain destinations and end-users, unfair international trade practices, limitations on entities with which we may conduct business and related matters.</w:t>
      </w:r>
    </w:p>
    <w:p>
      <w:pPr>
        <w:spacing w:after="0" w:line="13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Other Regulations. </w:t>
      </w:r>
      <w:r>
        <w:rPr>
          <w:rFonts w:ascii="Arial" w:cs="Arial" w:eastAsia="Arial" w:hAnsi="Arial"/>
          <w:sz w:val="16"/>
          <w:szCs w:val="16"/>
          <w:color w:val="auto"/>
        </w:rPr>
        <w:t>We are subject to a variety of other U.S. and foreign laws and regulations, including, but not limited to, the Foreign Corrupt Practices</w:t>
      </w:r>
      <w:r>
        <w:rPr>
          <w:rFonts w:ascii="Arial" w:cs="Arial" w:eastAsia="Arial" w:hAnsi="Arial"/>
          <w:sz w:val="16"/>
          <w:szCs w:val="16"/>
          <w:i w:val="1"/>
          <w:iCs w:val="1"/>
          <w:color w:val="auto"/>
        </w:rPr>
        <w:t xml:space="preserve"> </w:t>
      </w:r>
      <w:r>
        <w:rPr>
          <w:rFonts w:ascii="Arial" w:cs="Arial" w:eastAsia="Arial" w:hAnsi="Arial"/>
          <w:sz w:val="16"/>
          <w:szCs w:val="16"/>
          <w:color w:val="auto"/>
        </w:rPr>
        <w:t>Act and other anti-bribery and anti-corruption statutes, and export sanction laws. We are also subject to state and U.S. federal laws and regulations addressing some types of cargo transported or stored by our subsidiaries, or transported pursuant to a government contract or subcontract.</w:t>
      </w:r>
    </w:p>
    <w:p>
      <w:pPr>
        <w:spacing w:after="0" w:line="95"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Classification of Independent Contractors. </w:t>
      </w:r>
      <w:r>
        <w:rPr>
          <w:rFonts w:ascii="Arial" w:cs="Arial" w:eastAsia="Arial" w:hAnsi="Arial"/>
          <w:sz w:val="17"/>
          <w:szCs w:val="17"/>
          <w:color w:val="auto"/>
        </w:rPr>
        <w:t>U.S. tax and other federal and state regulatory authorities, as well as private litigants, continue to assert that</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contractor drivers in the trucking industry are employees rather than independent contractors, while applying a variety of standards in their determinations of independent contractor status. Federal legislators have introduced legislation in the past to make it easier for tax and other authorities to reclassify independent contractors as employees, including legislation to increase the recordkeeping requirements and heighten the penalties for companies that misclassify workers and are found to have violated overtime or wage requirements. Additionally, federal legislators have sought to abolish the current safe harbor, which allows taxpayers that meet certain criteria to treat individuals as independent contractors if they are following a longstanding, recognized practice. Federal legislators also sought to expand the Fair Labor Standards Act to cover “non-employees” who perform labor or services for businesses, even if said non-employees are properly classified as independent contractors; require taxpayers to provide written notice to workers based upon their classification as either an employee or a non-employee; and impose penalties and fines for violations of the notice requirement or for misclassifications. Some states have launched initiatives to increase tax revenues from items such as unemployment, workers’ compensation and income taxes, and the reclassification of independent contractors as employees could help states increase these revenues. In addition to these possible legislative changes, the National Labor Relations Board (“NLRB”) and NLRB's general counsel have signaled the desire to reverse several pro-employer precedents, to make it more difficult for a worker to be classified as an independent contractor by changing the factors used in determining worker classification. The NLRB has also entered into a Memorandum Of Understanding with the U.S. Department of Labor regarding the exchange of information and cooperation in enforcement activities regarding the misclassification of employees as independent contractors. If the independent contractor drivers that provide services to XPO are determined to be our employees, we could incur additional exposure under some or all of the following: federal and state employer taxes, workers’ compensation, unemployment benefits, and labor, employment and tort laws, including for prior periods, as well as potential liability for employee benefits and tax withholdings.</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Environmental Regulations. </w:t>
      </w:r>
      <w:r>
        <w:rPr>
          <w:rFonts w:ascii="Arial" w:cs="Arial" w:eastAsia="Arial" w:hAnsi="Arial"/>
          <w:sz w:val="18"/>
          <w:szCs w:val="18"/>
          <w:color w:val="auto"/>
        </w:rPr>
        <w:t>Our operations and our independent contractors are subject to various environmental laws and regulations in the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operate. In the U.S., these laws and regulations deal with the hauling, handling and disposal of hazardous materials, emissions from vehicles, engine-idling, fuel tanks and related fuel spillage and seepage, discharge and retention of storm water, and other environmental matters that involve inherent environmental risks. We may be responsible for the cleanup of any spill or other incident involving hazardous materials caused by our business. In the past, we have been responsible for the cost to clean up diesel fuel spills caused by traffic accidents or other events, and none of these incidents materially affected our business or operations. We generally transport only hazardous materials rated as low-to-medium-risk, and only a small percentage of our total loads contain hazardous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552450</wp:posOffset>
            </wp:positionV>
            <wp:extent cx="3257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insurance for commercial automobile and trucker’s liability, commercial general liability, cargo legal liability, workers’ compensation and employers’ liability, umbrella and excess liability, cyber risk, and property coverage with coverage limits, deductibles and self-insured retention levels that we believe are reasonable given the varying historical frequency, severity and timing of claims. Certain actuarial assumptions and managerial judgments are made for insurance reserves and are subject to a degree of variability.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and profitability are typically lower for the first quarter of the calendar year relative to other quarters. We believe this is due in part to the post-holiday reduction in demand experienced by many of our customers, which leads to less use of our services.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productivity of our tractors and trailers, independent contractors and other transportation providers generally decreases during the winter season because inclement weather impedes operations. It is not possible to reliably predict whether our historical revenue and profitability trends will continue to occur in future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At XPO, every action we take is based on our values – we are safe, entrepreneurial, respectful, innovative and inclusive. Our values shape our approach to human capital management and ensure we provide an excellent work environment for our employees. Our success relies heavily on our strong governance structure, Code of Business Ethics, good corporate citizenship and commitment to employee engagement.</w:t>
      </w:r>
    </w:p>
    <w:p>
      <w:pPr>
        <w:spacing w:after="0" w:line="1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customer-centric company with a strong service culture, we continually strive to be an employer of choice. This requires an unwavering commitment to workplace inclusion and safety, professional growth opportunities and competitive total compensation that meets the needs of our employees and their families.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Base Profile</w:t>
      </w:r>
    </w:p>
    <w:p>
      <w:pPr>
        <w:spacing w:after="0" w:line="17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had approximately 42,000 employees in locations spanning 20 countries as of December 31, 2021, with approximately 21,000 employees in North American LTL and approximately 21,000 employees in Brokerage and Other Services, including corporate. Our workforce is supplemented with approximately 5,400 temporary workers.</w:t>
      </w:r>
    </w:p>
    <w:p>
      <w:pPr>
        <w:spacing w:after="0" w:line="13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By geography, approximately 66% of our employees are based in North America, approximately 33% are in Europe and approximately 1% are in Latin America and Asia combined. By job description, approximately 57% of our employees work as drivers and dockworkers, approximately 25% work as operations and warehouse workers and approximately 9% work in field supervisory and management positions with the remainder in support and other positions. In North America, approximately 78% of our employees occupy hourly roles and approximately 22% are in salaried positions. By gender, approximately 18% of our global employees are female and approximately 23% of global managerial positions (manager or supervisor and above) are occupied by women. Women also comprise approximately 45% of our global salaried field and non-field professionals, and approximately 22% of all U.S. employees at vice president level and above, an increase of more than three percentage points from 2020. By ethnicity, almost 40% of our U.S. employees are ethnically or racially diverse, with representation of Black and African American colleagues surpassing the U.S. census by seven percentage points. Approximately 30% of colleagues in U.S. managerial positions (manager or supervisor and above) identify as ethnically or racially diverse.</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2021, approximately 88% of our employees in Europe were represented by unions or other employee representative bodies. In the U.S., less than 1% of our employees are represented by a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794385</wp:posOffset>
            </wp:positionV>
            <wp:extent cx="3257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Throughout 2021, we made significant investments in the safety, well-being and satisfaction of our employees in the following areas, among others: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 (“DE&amp;I”)</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take pride in having an inclusive workplace that encourages a diversity of talents and perspectives. We welcome employees of every gender identity, sexual orientation, race, ethnicity, national origin, religion, life experience and disability. Led by our chief diversity officer, we celebrate diversity through our heritage month celebrations, including Black history, women’s history, LGBTQ+ pride, Hispanic heritage, Native American heritage, Asian American heritage and military veterans. We offer inclusivity courses through our XPO University e-learning portal. We also engage in academic partnerships that advance diversity in higher education, including our collaboration with Historically Black Colleges and Universities (“HBCUs”) and the Hispanic Association of Colleges and Universities. We sponsor inclusion programs and employee resource groups that support employee heritage, women, veterans, the LGBTQ+ community, people with disabilities and other multicultural groups. Commitments added in 2021 include a partnership with Hiring our Heroes, a DE&amp;I global employee portal and “Table Talk” conversations on DE&amp;I topics with XPO leaders.</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ESG Initiatives in Long-Term Incentives. </w:t>
      </w:r>
      <w:r>
        <w:rPr>
          <w:rFonts w:ascii="Arial" w:cs="Arial" w:eastAsia="Arial" w:hAnsi="Arial"/>
          <w:sz w:val="16"/>
          <w:szCs w:val="16"/>
          <w:color w:val="auto"/>
        </w:rPr>
        <w:t>Our commitment to long-term and successive ESG achievements is demonstrated through our ESG scorecard,</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introduced in 2020 with more than 40 defined ESG targets and initiatives that span a four-year period through 2023. Our ESG scorecard deliverables are organized into six categories that are tied to performance on: (1) employee safety; (2) sustainability; (3) information security; (4) diversity and human capital management, among other areas of ESG. Goals include targets for turnover rates, gender and ethnic diversity growth in managerial positions and DOT recordable preventable accident frequency in both managed transportation and LTL. These ESG performance targets and initiatives, including deliverables for diversity and inclusion, are linked to 25% of our top executives’ long-term incentive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physical and emotional safety of our employees is our top priority, and we have numerous protocols in place to ensure a safe work environment. In the U.S., we aim to maintain an Occupational Safety and Health Administration total recordable incident rate (“TRIR”) that is less than half the published rate for the Truck Transportation industry based on the “Industry Injury and Illness Data” from the U.S. Bureau of Labor Statistics (“BLS”). In 2021, our North American Transport business unit exceeded our target expectation with a TRIR 2.63 points lower than the BLS national benchmark.</w:t>
      </w:r>
    </w:p>
    <w:p>
      <w:pPr>
        <w:spacing w:after="0" w:line="1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Another way we work to decrease occupational injuries and illnesses is through our global Road to Zero program. Road to Zero instills safety and compliance awareness through education, mentoring, communication and on-the-job training. In addition to physical well-being, we also consider emotional well-being to be an important part of workplace safety. Our Code of Business Ethics mandates zero tolerance of discrimination, harassment, retaliation, bullying and other unacceptable behaviors to ensure all employees feel welcome at work. Our open-door policy provides multiple channels for employees to report any incidents, including our anonymous Ethics Point hotline and website, along with any supervisor, manager or member of the HR team.</w:t>
      </w:r>
    </w:p>
    <w:p>
      <w:pPr>
        <w:spacing w:after="0" w:line="1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Throughout the COVID-19 pandemic, we’ve continued to prioritize employee physical and mental health and have aimed to balance protecting employee health while creating a comfortable work environment. We remain diligent in upholding XPO’s COVID-19 safety protocols, including daily health attestations, a contactless delivery policy for our drivers and customers and access to mental health counseling services for employees and their dependents. We continue to offer pandemic paid sick leave to provide U.S. and Canadian employees up to an additional two weeks of fully-paid sick leave.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i w:val="1"/>
          <w:iCs w:val="1"/>
          <w:color w:val="auto"/>
        </w:rPr>
        <w:t xml:space="preserve">Employee Engagement. </w:t>
      </w:r>
      <w:r>
        <w:rPr>
          <w:rFonts w:ascii="Arial" w:cs="Arial" w:eastAsia="Arial" w:hAnsi="Arial"/>
          <w:sz w:val="16"/>
          <w:szCs w:val="16"/>
          <w:color w:val="auto"/>
        </w:rPr>
        <w:t>At XPO, we regularly solicit feedback from employees to gauge our progress, assess satisfaction and encourage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suggestions. Each quarter, we solicit feedback from our global “wired” employees through an online satisfaction survey. In the U.S., we also conduct an annual satisfaction survey among our “non-wired” frontline employee audience in addition to regular roundtables and town halls. Based on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523875</wp:posOffset>
            </wp:positionV>
            <wp:extent cx="3257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feedback, we identify improvement areas and develop action plans at the business unit and facility level to implement improvements.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foster career development at all levels and seek to recruit and retain the best talent available. Our talent development infrastructure includes these activities and programs, among others:</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Recruitment. </w:t>
      </w:r>
      <w:r>
        <w:rPr>
          <w:rFonts w:ascii="Arial" w:cs="Arial" w:eastAsia="Arial" w:hAnsi="Arial"/>
          <w:sz w:val="16"/>
          <w:szCs w:val="16"/>
          <w:color w:val="auto"/>
        </w:rPr>
        <w:t>We tailor our recruitment efforts by geography and job function using an array of channels. We proactively recruit through advertisements</w:t>
      </w:r>
      <w:r>
        <w:rPr>
          <w:rFonts w:ascii="Arial" w:cs="Arial" w:eastAsia="Arial" w:hAnsi="Arial"/>
          <w:sz w:val="16"/>
          <w:szCs w:val="16"/>
          <w:i w:val="1"/>
          <w:iCs w:val="1"/>
          <w:color w:val="auto"/>
        </w:rPr>
        <w:t xml:space="preserve"> </w:t>
      </w:r>
      <w:r>
        <w:rPr>
          <w:rFonts w:ascii="Arial" w:cs="Arial" w:eastAsia="Arial" w:hAnsi="Arial"/>
          <w:sz w:val="16"/>
          <w:szCs w:val="16"/>
          <w:color w:val="auto"/>
        </w:rPr>
        <w:t>tailored for individual roles, and we use a range of different sources to search for potential candidates. For example, through our recruiting partnerships, we advertise open positions on recruitment websites targeted toward women, LGBTQ+ individuals, Blacks and African-Americans, Hispanics, veterans and those who are disabled. Our goal is to identify candidates who have the skills our customers need – or the desire to learn those skills. Specifically, we partner with Hiring our Heroes to attract military veterans and WorkFit, the Down’s Syndrome Association’s employment program.</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Modern Hire. </w:t>
      </w:r>
      <w:r>
        <w:rPr>
          <w:rFonts w:ascii="Arial" w:cs="Arial" w:eastAsia="Arial" w:hAnsi="Arial"/>
          <w:sz w:val="17"/>
          <w:szCs w:val="17"/>
          <w:color w:val="auto"/>
        </w:rPr>
        <w:t>Our integrated approach to talent development begins with the recruitment platform we launched this year. It includes job previews, on-demand interviewing and scheduling and pre-employment assessments to improve and personalize the candidate experience, allowing candidates to choose opportunities with XPO that best match their skills and interests. These features also reduce time demands of the candidate and improve employee retention by allowing candidates to learn about XPO and the role for which they’re applying prior to joining XPO.</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Grow at XPO. </w:t>
      </w:r>
      <w:r>
        <w:rPr>
          <w:rFonts w:ascii="Arial" w:cs="Arial" w:eastAsia="Arial" w:hAnsi="Arial"/>
          <w:sz w:val="18"/>
          <w:szCs w:val="18"/>
          <w:color w:val="auto"/>
        </w:rPr>
        <w:t>This program offers tailored skills development, training and mentoring for employees who aspire to grow into higher-paying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more responsibility at XPO. Grow at XPO is intended primarily to create opportunities for employees from minority populations or underrepresented communities.</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Driver School. </w:t>
      </w:r>
      <w:r>
        <w:rPr>
          <w:rFonts w:ascii="Arial" w:cs="Arial" w:eastAsia="Arial" w:hAnsi="Arial"/>
          <w:sz w:val="16"/>
          <w:szCs w:val="16"/>
          <w:color w:val="auto"/>
        </w:rPr>
        <w:t>XPO’s driver training schools are instrumental in our driver recruitment efforts, enabling us to teach new drivers. We have 130 driver</w:t>
      </w:r>
      <w:r>
        <w:rPr>
          <w:rFonts w:ascii="Arial" w:cs="Arial" w:eastAsia="Arial" w:hAnsi="Arial"/>
          <w:sz w:val="16"/>
          <w:szCs w:val="16"/>
          <w:i w:val="1"/>
          <w:iCs w:val="1"/>
          <w:color w:val="auto"/>
        </w:rPr>
        <w:t xml:space="preserve"> </w:t>
      </w:r>
      <w:r>
        <w:rPr>
          <w:rFonts w:ascii="Arial" w:cs="Arial" w:eastAsia="Arial" w:hAnsi="Arial"/>
          <w:sz w:val="16"/>
          <w:szCs w:val="16"/>
          <w:color w:val="auto"/>
        </w:rPr>
        <w:t>training schools in our network and graduated approximately 900 students in 2021. Our driver training program is also a critical component of our driver retention strategy, as our retention rate on average over the past two years for internal driver school graduates is more than 30 percentage points higher than that of external driver hires. Our recent enhancements to student compensation and training options are industry-leading and include free tuition, guaranteed wages for instruction hours, on-the-job training and other benefits. In contrast to the BLS-reported national average age of 46 years old for employees in the Truck Transportation industry, approximately 80% of our 2021 student driver hired population is below 40 years of age with nearly half of students between the ages of 25-34 years old. We plan to expand our graduate count in 2022 to double our graduates in 2021.</w:t>
      </w:r>
    </w:p>
    <w:p>
      <w:pPr>
        <w:spacing w:after="0" w:line="11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XPO Graduate Program (LTL). </w:t>
      </w:r>
      <w:r>
        <w:rPr>
          <w:rFonts w:ascii="Arial" w:cs="Arial" w:eastAsia="Arial" w:hAnsi="Arial"/>
          <w:sz w:val="18"/>
          <w:szCs w:val="18"/>
          <w:color w:val="auto"/>
        </w:rPr>
        <w:t>We maintain a robust “ready now” pipeline of future operations leaders by using structured sponsorships and incidental</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techniques. These programs are designed to develop internal candidates who demonstrate high potential in supervisory roles, preparing them to become site leaders. The programs also help retain top talent by defining personalized development paths, and they attract new talent by differentiating XPO from its competitors.</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XPO RISE. </w:t>
      </w:r>
      <w:r>
        <w:rPr>
          <w:rFonts w:ascii="Arial" w:cs="Arial" w:eastAsia="Arial" w:hAnsi="Arial"/>
          <w:sz w:val="18"/>
          <w:szCs w:val="18"/>
          <w:color w:val="auto"/>
        </w:rPr>
        <w:t>Our executive training program for high-potential managers launched in the U.S. in 2021 and will launch in Europe in 2022. This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emphasizes our commitment to promote from within and increase gender diversity in executive management roles by providing cross-functional leadership experience via special projects, collaboration with peers and mentoring from XPO executives.</w:t>
      </w:r>
    </w:p>
    <w:p>
      <w:pPr>
        <w:spacing w:after="0" w:line="13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i w:val="1"/>
          <w:iCs w:val="1"/>
          <w:color w:val="auto"/>
        </w:rPr>
        <w:t xml:space="preserve">XPO University. </w:t>
      </w:r>
      <w:r>
        <w:rPr>
          <w:rFonts w:ascii="Arial" w:cs="Arial" w:eastAsia="Arial" w:hAnsi="Arial"/>
          <w:sz w:val="17"/>
          <w:szCs w:val="17"/>
          <w:color w:val="auto"/>
        </w:rPr>
        <w:t>Our learning and development platform encompasses online and in-person programs, including JumpStart onboarding,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skills development. In 2021, more than one million training hours were completed by our employees worldwide.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appreciate that our employees choose to work for XPO from among many options inside and outside our industry. We offer a total compensation package that is both competitive and progressive to attract and retain outstanding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Competitive Wages. </w:t>
      </w:r>
      <w:r>
        <w:rPr>
          <w:rFonts w:ascii="Arial" w:cs="Arial" w:eastAsia="Arial" w:hAnsi="Arial"/>
          <w:sz w:val="18"/>
          <w:szCs w:val="18"/>
          <w:color w:val="auto"/>
        </w:rPr>
        <w:t>In 2021, total compensation expense for employees (i.e., excluding contingent workers) rose by 13%, or $389 million, reflecting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concentrated and broad-based investments in wage increases for more than 22,000 hourly workers throughout the year, and annual merit-based and promotional increases for our salaried employees. In addition, we hired nearly 15,000 employees globally at competitive rates as we continued to invest in the company’s growth, innovation and commitment to deliver relentlessly for our customers.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Comprehensive Benefits. </w:t>
      </w:r>
      <w:r>
        <w:rPr>
          <w:rFonts w:ascii="Arial" w:cs="Arial" w:eastAsia="Arial" w:hAnsi="Arial"/>
          <w:sz w:val="18"/>
          <w:szCs w:val="18"/>
          <w:color w:val="auto"/>
        </w:rPr>
        <w:t>We offer a comprehensive suite of health and welfare benefit programs to support employees and their families. Many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are offered because of employee feedback. In the U.S., examples include:</w:t>
      </w:r>
    </w:p>
    <w:p>
      <w:pPr>
        <w:spacing w:after="0" w:line="116" w:lineRule="exact"/>
        <w:rPr>
          <w:sz w:val="20"/>
          <w:szCs w:val="20"/>
          <w:color w:val="auto"/>
        </w:rPr>
      </w:pPr>
    </w:p>
    <w:p>
      <w:pPr>
        <w:ind w:left="660" w:right="4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Pregnancy Care Policy: </w:t>
      </w:r>
      <w:r>
        <w:rPr>
          <w:rFonts w:ascii="Arial" w:cs="Arial" w:eastAsia="Arial" w:hAnsi="Arial"/>
          <w:sz w:val="18"/>
          <w:szCs w:val="18"/>
          <w:color w:val="auto"/>
        </w:rPr>
        <w:t>guarantees up to 80 hours of paid prenatal leave and certain automatic accommodations, plus consideration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accommodations.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Family Bonding Policy: </w:t>
      </w:r>
      <w:r>
        <w:rPr>
          <w:rFonts w:ascii="Arial" w:cs="Arial" w:eastAsia="Arial" w:hAnsi="Arial"/>
          <w:sz w:val="18"/>
          <w:szCs w:val="18"/>
          <w:color w:val="auto"/>
        </w:rPr>
        <w:t>provides 100% paid time off for six weeks for the primary caregiver of a newborn or newly adopted child, and 100% paid</w:t>
      </w:r>
      <w:r>
        <w:rPr>
          <w:rFonts w:ascii="Arial" w:cs="Arial" w:eastAsia="Arial" w:hAnsi="Arial"/>
          <w:sz w:val="18"/>
          <w:szCs w:val="18"/>
          <w:i w:val="1"/>
          <w:iCs w:val="1"/>
          <w:color w:val="auto"/>
        </w:rPr>
        <w:t xml:space="preserve"> </w:t>
      </w:r>
      <w:r>
        <w:rPr>
          <w:rFonts w:ascii="Arial" w:cs="Arial" w:eastAsia="Arial" w:hAnsi="Arial"/>
          <w:sz w:val="18"/>
          <w:szCs w:val="18"/>
          <w:color w:val="auto"/>
        </w:rPr>
        <w:t>time off for two weeks for a secondary caregiver.</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Tuition Reimbursement: </w:t>
      </w:r>
      <w:r>
        <w:rPr>
          <w:rFonts w:ascii="Arial" w:cs="Arial" w:eastAsia="Arial" w:hAnsi="Arial"/>
          <w:sz w:val="18"/>
          <w:szCs w:val="18"/>
          <w:color w:val="auto"/>
        </w:rPr>
        <w:t>provides up to $5,250 annually for continuing education, tuition-free commercial driver training and education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80 fields of online study.</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Additional Benefits: </w:t>
      </w:r>
      <w:r>
        <w:rPr>
          <w:rFonts w:ascii="Arial" w:cs="Arial" w:eastAsia="Arial" w:hAnsi="Arial"/>
          <w:sz w:val="18"/>
          <w:szCs w:val="18"/>
          <w:color w:val="auto"/>
        </w:rPr>
        <w:t>including access to a Total Rewards Statement, assistance with diabetes management, supplemental insurance and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Europe, XPO’s benefit programs vary by country and are tailored to the needs of local markets. Examples include comprehensive healthcare and risk insurances, employee assistance programs covering mental, physical and financial well-being, commercial driver training, vocational coaching and training and a full flexible benefits program in the U.K.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2021, there were hundreds of examples of our company and employees giving back, including our support of the Susan G. Komen Foundation, Truckers Against Trafficking, Soles4Souls, Girls With Impact, Toys for Tots, Elves &amp; More and the Make-A-Wish Foundation,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779145</wp:posOffset>
            </wp:positionV>
            <wp:extent cx="3257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each of our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Borders>
              <w:top w:val="single" w:sz="8" w:color="CCEEFF"/>
            </w:tcBorders>
            <w:shd w:val="clear" w:color="auto" w:fill="CCEEFF"/>
          </w:tcPr>
          <w:p>
            <w:pPr>
              <w:spacing w:after="0"/>
              <w:rPr>
                <w:sz w:val="19"/>
                <w:szCs w:val="19"/>
                <w:color w:val="auto"/>
              </w:rPr>
            </w:pPr>
          </w:p>
        </w:tc>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Mario Harik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Chief Information Officer; Acting President, Less-Than-Truckload</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Ravi Tulsyan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3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Brad Jacobs </w:t>
      </w:r>
      <w:r>
        <w:rPr>
          <w:rFonts w:ascii="Arial" w:cs="Arial" w:eastAsia="Arial" w:hAnsi="Arial"/>
          <w:sz w:val="16"/>
          <w:szCs w:val="16"/>
          <w:color w:val="auto"/>
        </w:rPr>
        <w:t>has served as XPO’s chairman of the Board of Directors and chief executive officer since September 2011. Mr. Jacobs also has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chairman of the Board of Directors of GXO Logistics, Inc. since August 2, 2021. He is also the managing member of Jacobs Private Equity, LLC, which is one of XPO’s largest stockholders. Mr. Jacobs led two other public companies prior to XPO: United Rentals, Inc., which he founded in 1997, and United Waste Systems, Inc., which he founded in 1989. Mr. Jacobs served as chairman of United Rentals from 1997 to 2007, and as chief executive officer from 1997 to 2003. He served as chairman and chief executive officer of United Waste Systems from 1989 to 1997.</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Mario Harik </w:t>
      </w:r>
      <w:r>
        <w:rPr>
          <w:rFonts w:ascii="Arial" w:cs="Arial" w:eastAsia="Arial" w:hAnsi="Arial"/>
          <w:sz w:val="17"/>
          <w:szCs w:val="17"/>
          <w:color w:val="auto"/>
        </w:rPr>
        <w:t>has served as XPO’s chief information officer since November 2011 and acting president, Less-Than-Truckload since October 2021.</w:t>
      </w:r>
    </w:p>
    <w:p>
      <w:pPr>
        <w:spacing w:after="0" w:line="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Harik has led numerous technological developments for transportation and logistics industries, built comprehensive technology organizations, overseen the implementation of extensive proprietary platforms, and consulted to 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solutions architect and consultant with Adea Solutions. Mr. Harik holds a master’s degree in engineering, information technology from Massachusetts Institute of Technology, and a degree in engineering – computer and communications from the American University of Beirut, Lebanon.</w:t>
      </w:r>
    </w:p>
    <w:p>
      <w:pPr>
        <w:spacing w:after="0" w:line="13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Ravi Tulsyan </w:t>
      </w:r>
      <w:r>
        <w:rPr>
          <w:rFonts w:ascii="Arial" w:cs="Arial" w:eastAsia="Arial" w:hAnsi="Arial"/>
          <w:sz w:val="18"/>
          <w:szCs w:val="18"/>
          <w:color w:val="auto"/>
        </w:rPr>
        <w:t>has served as XPO’s chief financial officer since September 2021, after formerly serving as the company’s deputy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February 2021 and treasurer since 2016. Prior to XPO, Mr. Tulsyan served as treasurer and senior vice president, M&amp;A with ADT Corporation following ADT’s 2012 spin off from Tyco International. Mr. Tulsyan previously served as Tyco’s vice president of global capital markets and head of financial planning and analysis at the time of the separation, and led all treasury activities related to the transaction. Earlier, Mr. Tulsyan held executive positions as senior treasury manager with PepsiCo, and manager of derivatives strategy and trading with Xerox Corporation. He holds a master’s degree in finance from the University of Rochester, a master’s degree in mechanical engineering from the Ohio State University, and a bachelor’s degree from the Indian Institute of Technology Madras.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u w:val="single" w:color="auto"/>
          <w:color w:val="auto"/>
        </w:rPr>
        <w:t>www.xpo.com</w:t>
      </w:r>
      <w:r>
        <w:rPr>
          <w:rFonts w:ascii="Arial" w:cs="Arial" w:eastAsia="Arial" w:hAnsi="Arial"/>
          <w:sz w:val="18"/>
          <w:szCs w:val="18"/>
          <w:color w:val="auto"/>
        </w:rPr>
        <w:t>. On this website, you can access, free of charge, our reports on Forms 10-K, 10-Q and 8-K, as well as specialized disclosure reports on Form SD, Proxy Statements on Schedule 14A and amendments to these materials. Materials are available online as soon as reasonably practicable after we electronically submit them to the SEC. You can also access materials on our website regarding our corporate governance policies and practices, including our Corporate Governance Guidelines, Code of Business Ethics and the charters relating to the committees of our Board of Directors. You may request a printed copy of these materials without charge by writing to: Investor Relations, XPO Logistics, Inc., Five American Lane, Greenwich, Connecticut 06831.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the COVID-19 pandemic</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freight volumes, both in North America and Europe, could have a material adverse impact on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transportation industry in North America and Europe historically has experienced cyclical fluctuations in financial results due to economic recessions, downturns in the business cycles of our customers, increases in the prices charged by third-party carriers, interest rate fluctuations, changes in international trade policies and other U.S. and global economic factors beyond our control.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Additional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24" w:lineRule="exact"/>
        <w:rPr>
          <w:sz w:val="20"/>
          <w:szCs w:val="20"/>
          <w:color w:val="auto"/>
        </w:rPr>
      </w:pPr>
    </w:p>
    <w:p>
      <w:pPr>
        <w:ind w:left="660" w:right="68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reduction in overall freight volume reduces our opportunities for growth. In addition, if a downturn in our customers’ business causes a reduction in the volume of freight shipped by those customers, our operating results could be adversely affected;</w:t>
      </w:r>
    </w:p>
    <w:p>
      <w:pPr>
        <w:spacing w:after="0" w:line="92"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number of our transportation providers may go out of business and we may be unable to secure sufficient equipment capacity or services to meet our commitments to our customers;</w:t>
      </w:r>
    </w:p>
    <w:p>
      <w:pPr>
        <w:spacing w:after="0" w:line="116" w:lineRule="exact"/>
        <w:rPr>
          <w:rFonts w:ascii="Arial" w:cs="Arial" w:eastAsia="Arial" w:hAnsi="Arial"/>
          <w:sz w:val="18"/>
          <w:szCs w:val="18"/>
          <w:color w:val="auto"/>
        </w:rPr>
      </w:pPr>
    </w:p>
    <w:p>
      <w:pPr>
        <w:ind w:left="660" w:right="160" w:hanging="328"/>
        <w:spacing w:after="0" w:line="30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appropriately adjust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 we may be unable to adequately adjust these expenses to match a rapid change in demand; and</w:t>
      </w:r>
    </w:p>
    <w:p>
      <w:pPr>
        <w:spacing w:after="0" w:line="103" w:lineRule="exact"/>
        <w:rPr>
          <w:rFonts w:ascii="Arial" w:cs="Arial" w:eastAsia="Arial" w:hAnsi="Arial"/>
          <w:sz w:val="16"/>
          <w:szCs w:val="16"/>
          <w:color w:val="auto"/>
        </w:rPr>
      </w:pPr>
    </w:p>
    <w:p>
      <w:pPr>
        <w:ind w:left="660" w:right="8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government has made significant changes in U.S. trade policy and has taken certain actions that have negatively impacted U.S. trade, including imposing tariffs on certain goods imported into the U.S. To date, several governments, including the European Union (“EU”) have imposed tariffs on certain goods imported from the U.S. These actions may contribute to weakness in the global economy that could adversely affect our results of operations. Any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 Such conditions could have an adverse effect on our business, results of operations and financial condition, as well as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773430</wp:posOffset>
            </wp:positionV>
            <wp:extent cx="3257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continue to face unfavorable market conditions arising from the COVID-19 pandemic, our business, prospects, financial condition and operating results may be negatively impacted.</w:t>
      </w:r>
    </w:p>
    <w:p>
      <w:pPr>
        <w:spacing w:after="0" w:line="6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are closely monitoring the impact of the COVID-19 pandemic on all aspects of our business and geographies, including how it will impact our employees, customers and business partners. The COVID-19 pandemic has created significant volatility, uncertainty and economic disruption, which will adversely affect our business operations and may materially and adversely affect our results of operations, cash flows and financial position.</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and those of our customers have been subject to supply chain disruptions due to pandemic-related plant and port shutdowns, transportation delays, government actions and other factors, which may be beyond our control. The global shortage of certain components such as semiconductor chips, strains on production or extraction of raw materials, cost inflation, and labor and equipment shortages, could escalate in future quarters. Labor shortages, particularly of truck drivers, have led and may continue to lead to difficult conditions for hiring and retention of drivers as well as mechanics, dock workers and others, and increased labor costs, and along with equipment shortages, can result in lower levels of service, including timeliness, productivity and quality of service. If we continue to face unfavorable market conditions, our business, prospects, financial condition and operating results may be negatively impacted.</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COVID-19 pandemic, we have incurred additional costs to meet the needs of our customers and employees. We expect to continue to incur additional costs, which may be significant, as we implement operational changes in response to the pandemic. An extended period of remote work arrangements could strain our business continuity plans, introduce operational risk, including but not limited to cybersecurity risks, and impair our ability to manage our business.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impacts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As a result, the pandemic and related supply chain disruptions could have a material impact on our results of operations and heighten many of our other known risks described in this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Operations, Legal and Compliance and Finance</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company-specific action plan to enhance network efficiencies and drive growth in our North American LTL business, and other management actions to improve our North American LTL business, may not be effective or timely, and may not improve our results of operations or cash flow from operations as planned.</w:t>
      </w:r>
    </w:p>
    <w:p>
      <w:pPr>
        <w:spacing w:after="0" w:line="7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undertaken a company-specific action plan to enhance network operating efficiencies and drive growth in our North American LTL business, including among other actions, selectively imposing freight embargoes, increasing prices, expanding our driver school enrollment, increasing production capacity of our trailer manufacturing facility, and investing in the door count in our network of terminal facilities. The effectiveness and timeliness of these actions, which are and will be costly, and other management actions to improve our North American LTL business, may not result in the expected improvements in our results of operations or cash flow from operations in our North American LTL business.</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profitability may be materially adversely impacted if our investments in equipment and service centers do not match customer demand for these resources or if there is a decline in the availability of funding sources for these investments.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 manufactured tractors. If our anticipated requirements for service centers or fleet differ materially from actual usage, our capital-intensive operations, specifically LTL and full truckload, may have more or less capacity than is optimal.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547370</wp:posOffset>
            </wp:positionV>
            <wp:extent cx="3257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successfully implement our cost and revenue initiatives could cause our future financial results to suffer.</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implementing various cost and revenue initiatives to further increase our profitability, including advanced pricing analytics and revenue management tools, our digital freight platform, our shared distribution network, cross-selling to strategic accounts, LTL process improvements, workforce productivity, European margin expansion, global procurement and further back-office optimization. If we are not able to successfully implement these cost and revenue initiatives, our future financial results may suffer.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17"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growth, including organic growth through new customer wins and increased business with existing customers, as well as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 from multiple customer project implementations.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growth may place a significant strain on our management, operational, financial and information technology resources. We seek to continually improve existing procedures and controls, as well as implement new transaction processing, operational and financial systems, and procedures and controls to expand, train and manage our employee base. Our working capital needs may continue to increase as our operations grow. Failure to manage our growth effectively, or obtain necessary working capital, could have a material adverse effect on our business, results of operations, cash flows and financial condition.</w:t>
      </w:r>
    </w:p>
    <w:p>
      <w:pPr>
        <w:spacing w:after="0" w:line="13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We may sell, spin off or otherwise divest one or more of our business units, which may have an adverse effect on our remaining businesses and the market price of our common stock, and we would anticipate incurring material compensation and other expenses, including expenses related to the acceleration of equity awards, in connection with substantial dispositions.</w:t>
      </w:r>
    </w:p>
    <w:p>
      <w:pPr>
        <w:spacing w:after="0" w:line="5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may sell, spin off or otherwise divest, in whole or in part, one or more of our business units, which may have an adverse effect on our remaining businesses and the market price of our common stock, and we would anticipate incurring material compensation and other expenses, including expenses related to the acceleration of equity awards, in connection with entering into and/or completing substantial dispositions. We may not realize the price we expect to receive when divesting a business unit, we may incur a loss in connection with a sale, spin-off or other divestiture of a business unit, the market price of our common stock and the multiples at which our common stock trades may not increase following a business unit sale, spin-off or other divestiture, and/or we may incur ongoing transition obligations and costs that adversely impact our operations following a business unit sale, spin-off or other divestiture. Certain of these factors could have an adverse effect on our results of operations and cash flows.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a sale, spin-off or other divestiture of one or more of our business units will result in us being a smaller, less diversified company with a more concentrated area of focus. Following a potential sale, spin-off or other divestiture, we will be reliant on our remaining business units. As a result, we may become more vulnerable to changing market conditions, which could have a material adverse effect on our business, financial condition and results of operations. The diversification of our revenues, costs and cash flows will diminish as a result of a sale, spin-off or other divestiture, such that our results of operations, cash flows, working capital, effective tax rate and financing requirements may be subject to increased volatility and our ability to fund capital expenditures, investments and service our debt may be diminished. We may also incur ongoing costs and retain certain liabilities that were previously allocated to entities that were sold, spun off or otherwise divested. Those costs may exceed our estimates or could diminish the benefits we expect to realize.</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Further, a sale, spin-off or other divestiture of one or more of our business units may subject us to litigation. An unfavorable outcome of such litigation may result in a material adverse impact on our business,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flows or results of operations. In addition, regardless of the outcome, litigation proceedings can be costly, time-consuming, disruptive to our operations, and distracting to management.</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While we intend for our acquisitions to enhance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if the performance of our reporting segments or an acquired business varies from our projections or assumptions, or if estimates about the future profitability of our reporting segments or an acquired business change, our revenues, earnings or other aspects of our financial condition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determine that our goodwill has become impaired, we may incur impairment charges, which would negatively impact our operating results.</w:t>
      </w:r>
    </w:p>
    <w:p>
      <w:pPr>
        <w:spacing w:after="0" w:line="1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December 31, 2021, we had $2.5 billion of goodwill on our consolidated balance sheet. Goodwill represents the excess of cost over the fair value of net assets acquired in business combinations. We assess potential impairment of our goodwill annually, or more frequently if an event or circumstance indicates an impairment loss may have been incurred. Impairment may result from significant changes in the manner or use of the acquired assets, in connection with the sale, spin off or other divestiture of a business unit, negative industry or economic trends and/or significant underperformance relative to historic or projected operating results. For a discussion of our goodwill impairment testing, see “Critical Accounting Policies and Estimates - Evaluation of Goodwill” in Part II, Item 7, “Management’s Discussion and Analysis of Financial Condition and Results of Operations.”</w:t>
      </w:r>
    </w:p>
    <w:p>
      <w:pPr>
        <w:spacing w:after="0" w:line="110" w:lineRule="exact"/>
        <w:rPr>
          <w:sz w:val="20"/>
          <w:szCs w:val="20"/>
          <w:color w:val="auto"/>
        </w:rPr>
      </w:pPr>
    </w:p>
    <w:p>
      <w:pPr>
        <w:jc w:val="both"/>
        <w:ind w:right="980"/>
        <w:spacing w:after="0" w:line="375"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divert our resources, and ultimately be unsuccessful. Moreover, should we fail to develop and properly manage future intellectual property, this could adversely affect our market positions and business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809625</wp:posOffset>
            </wp:positionV>
            <wp:extent cx="3257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in Item 7A, “Quantitative and Qualitative Disclosures about 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fuel prices impacts our fuel surcharge revenue and may impact our profitability.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risks associated with the availability and price of fuel, all of which are subject to political, economic and market factors that are outside of our control.</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Fuel expense constitutes one of the greatest costs to our LTL and full truckload carrier operations, as well as to the independent contractor drivers and third-party transportation providers who transport freight arranged by our other operations.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11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Extreme or unusual weather conditions whether due to climate change or otherwise, can disrupt our operations, impact freight volumes, and increase our costs, all of which could have a material adverse effect on our business results.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business depends, in part, on predictable temperate weather patterns. Certain seasonal weather conditions and isolated weather events can disrupt our operations. We frequently incur costs related to snow and ice removal, towing and other maintenance activities during winter months. At least some of our operations are constantly at risk of extreme adverse weather conditions. Any unusual or prolonged adverse weather patterns in our areas of operations or markets, whether due to climate change or otherwise, can temporarily impact freight volumes and increase our costs.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Also, concerns relating to climate change have led to a range of local, state, federal, and international regulatory and policy efforts to seek to address greenhouse gas (“GHG”) emissions. In the U.S., various approaches are being proposed or adopted at the federal, state, and local government levels. These efforts could lead to additional costs on the Company now or in the future, including increased fuel and other capital or operational costs, or additional legal requirements on the Company. In addition to the potential for additional GHG regulation or incentives, enhanced corporate, public, and stakeholder awareness of climate change could affect the Company's reputation or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548640</wp:posOffset>
            </wp:positionV>
            <wp:extent cx="3257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demand. Climate change concerns and GHG regulatory efforts could also affect the Company's customers themselves. Any of these factors, individually or combined with one or more factors, or other unforeseen factors or other impacts of climate change, could affect the Company and have an effect on our business, operations,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Use of Technology</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transportation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transportation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 This could result in a loss of customers or a decline in the volume of freight we receive from customers.</w:t>
      </w:r>
    </w:p>
    <w:p>
      <w:pPr>
        <w:spacing w:after="0" w:line="12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are developing proprietary information technology. 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security systems, networks or processes may materially adversely affect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order entry and fulfillment and other business processes. We also rely on third parties and virtualized infrastructure to operate our information technology systems. Despite significant testing,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has in the past, and could in the future,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 Further, the delay or failure to implement information system upgrades and new systems effectively could disrupt our business, distract management’s focus and attention from our business operations, and increase our implementation and operating costs, any of which could negatively impact our operations and operating results.</w:t>
      </w:r>
    </w:p>
    <w:p>
      <w:pPr>
        <w:spacing w:after="0" w:line="12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reputation or increased service and maintenance costs. Addressing such issues could prove to be impossible or very costly and responding to the resulting claims or liability could similarly involve substantial cost.</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Also, due to recent advances in technology and well-known efforts on the part of computer hackers and cyber-terrorists to breach data security of companies, we face risks associated with potential failure to adequately protect critical corporate, customer and employee data, which, if released, could adversely impact our customer relationships, our reputation, and even violate privacy laws. Recently, regulatory and enforcement focus on data protection has heightened in the U.S. and abroad, particularly in the EU. Failure to comply with applicable U.S. or foreign data protection regulations or other data protection standards may expose us to litigation, fines, sanctions or other penalties, which could harm our business, reputation,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Credit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outstanding indebtedness, which could: negatively affect our ability to pay principal and interest on our debt; increase our vulnerability to general adverse economic and industry conditions; limit our ability to fund future capital expenditures and working capital, to engage in future acquisitions or development activities, or to otherwise realize the value of our assets and opportunities fully because of the need to dedicate a substantial portion of our cash flow to payments of interest and principal or to comply with any restrictive terms of our debt; limit our flexibility in planning for, or reacting to, changes in our business and the industry in which we operate; impair our ability to obtain additional financing or to refinance our indebtedness in the future; and place us at a competitive disadvantage compared to our competitors that may have proportionately less debt.</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12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Under the terms of our outstanding indebtedness, we may not be able to incur substantial additional indebtedness in the future, which could further exacerbate the risks described above.</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in the future be required to raise capital through public or private financing or other arrangements in order to pursue our growth strategy or operate our businesses. Such financing may not be available on acceptable terms, or at all, and our failure to raise capital when needed could harm our business and/or our ability to execute our strategy. Further debt financing may involve restrictive covenants and could reduce our profitability. If we cannot raise funds on acceptable terms, we may not be able to grow our business or respond to competitive pressures.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interest rate changes because of our floating rate credit facilities.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Second Amended and Restated Revolving Loan Credit Agreement, as amended (the “ABL Facility”) and the senior secured term loan credit agreement, as amended (the “Term Loan Facility”), provide for an interest rate based on London Interbank Offered Rate (“LIBOR”) or a Base Rate, as defined in the agreements,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ABL Facility, Term Loan Facility and Receivables Securitization Program are subject to floating interest rates. Refer to Item 7A, “Quantitative and Qualitative Disclosures about Market Risk” for the impact on interest expense of a hypothetical 1% increase in the interest rate. Interest rates are highly sensitive to many factors, including governmental monetary policies, domestic and international economic and political conditions and other factors beyond our control. A significant increase in interest rates could have an adverse effect on our financial position and results of operations. Additionally, the interest rates on some of our debt is tied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544195</wp:posOffset>
            </wp:positionV>
            <wp:extent cx="3257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LIBOR. In July 2017, the head of the U.K.’s Financial Conduct Authority announced its intention to phase out the use of LIBOR by the end of 2021. However, for U.S. dollar-denominated (“USD”) LIBOR, only one-week and two-month USD LIBOR will cease to be published after 2021, and all remaining USD LIBOR tenors will continue being published until June 2023. The uncertainty regarding the future of LIBOR, as well as the transition from LIBOR to another benchmark rate or rates, could have adverse impacts on our outstanding debt that currently uses LIBOR as a benchmark rate, and ultimately, adversely affect our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Third-Party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in the operation of our business.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our intermodal drayage, expedite, last mile and global forwarding operations, we do not own or control the transportation assets that deliver our customers’ freight, and we do not employ the people directly involved in delivering this freight. In addition, in our intermodal drayage, expedite and last mile businesses, we engage independent contractors who own and operate their own equipment. Accordingly, we are dependent on third parties to provide truck, rail, ocean, air and other transportation services and to report certain events to us, including delivery information and cargo claims. This reliance on third parties could cause delays in reporting certain events, impacting our ability to recognize revenue and claims in a timely manner.</w:t>
      </w:r>
    </w:p>
    <w:p>
      <w:pPr>
        <w:spacing w:after="0" w:line="10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inability to maintain positive relationships with independent transportation providers could significantly limit our ability to serve our customers on competitive terms. If we are unable to secure sufficient equipment or other transportation services to meet our commitments to our customers or provide our services on competitive terms, our operating results could be materially and adversely affected, and our customers could shift their business to our competitors temporarily or permanently. Our ability to secure sufficient equipment or other transportation services to meet our commitments to customers or provide our services on competitive terms is subject to inherent risks, many of which are beyond our control, including: equipment shortages in the transportation industry, particularly among contracted truckload carriers and railroads; driver shortages in the transportation industry and/or resulting increases in the cost of procuring transportation services; interruptions or stoppages in transportation services as a result of labor disputes, seaport strikes, network congestion, weather-related issues, “Acts of God” or acts of terrorism; changes in regulations impacting transportation; increases in operating expenses for carriers, such as fuel costs, insurance premiums and licensing expenses, that result in a reduction in available carriers; and changes in transportation rates.</w:t>
      </w:r>
    </w:p>
    <w:p>
      <w:pPr>
        <w:spacing w:after="0" w:line="1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our European business heavily relies on subcontracting and we use a large number of temporary employees in these operations. As a result, we are exposed to various risks related to managing our subcontractors, such as the risk that they do not fulfill their assignments in a satisfactory manner or within the specified deadlines. Moreover,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Such failures could compromise our ability to fulfill our commitments to our customers, comply with applicable regulations or otherwise meet our customers’ expectations. Such failures could also harm our reputation and ability to win new business and could lead to our being liable for contractual damages. Furthermore, in the event of a failure by our subcontractors or temporary employees to fulfill their assignments in a satisfactory manner, we could be required to perform unplanned work or additional services in line with the contracted service, without receiving any additional compensation. As a result, any failure to properly manage our subcontractors or temporary employees in Europe or elsewhere could have a material adverse impact on our revenues, earnings, financial position and outlook.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driver compensation and difficulties with attracting and retaining drivers could adversely affect our revenues and profitability.</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LTL services in North America and Europe and our full truckload services in Europe are conducted primarily with employee drivers. Our industry is currently experiencing and may, in the future, experience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537845</wp:posOffset>
            </wp:positionV>
            <wp:extent cx="3257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industry regulations, and the demand for drivers in the labor market. If the current industry-wide shortage of qualified drivers continues, our global LTL operations and our European truckload operation could experience difficulty in attracting and retaining enough qualified drivers to fully satisfy customer demand. During periods of increased competition in the labor market for drivers, our LTL and full truckload operations may be required to increase driver compensation and benefits in the future or face difficulty meeting customer demand, all of which could adversely affect our profitability. Additionally, a shortage of drivers could result in the underutilization of our truck fleet, lost revenue, increased costs for purchased transportation or increased costs for driver recruitment.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in the past has been, and in the future could be, adversely affected by strikes and labor negotiations at seaports, labor disputes between railroads and their union employees, or by a work stoppage at one or more railroads or local trucking companies servicing rail or port terminals, including work disruptions involving owner-operators under contract with our local trucking operations. Strikes and work stoppages also could occur at our own facilities.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European business activities require a large amount of labor, which represents one of our most significant costs.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Efforts by labor organizations to organize employees at certain locations in North America, if successful, may result in increased costs and decreased efficiencies at those locations.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2014, in the U.S., the International Brotherhood of Teamsters (“Teamsters”) has attempted to organize employees at several of our LTL locations, and the International Association of Machinists (“Machinists”) has attempted to organize a small number of mechanics at three LTL maintenance shops. Additionally, the Teamsters is currently pursuing representation of independent contractor owner-operators at our Intermodal Commerce and San Diego, CA locations.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majority of our employees involved in these organizing efforts rejected union representation. As of January 31, 2022, our employees had voted against union representation in 19 of the 29 union elections held since 2014.</w:t>
      </w:r>
    </w:p>
    <w:p>
      <w:pPr>
        <w:spacing w:after="0" w:line="1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May 2020, LTL technicians at our Gary Hammond, IN shop ratified a contract negotiated between XPO and the Machinists union. In November 2021, the Gary Hammond facility lease expired and that shop was closed by us. In July 2021, LTL drivers and dockworkers at our Miami, FL service center and drivers at our Trenton, NJ service center ratified contracts negotiated between XPO and the Teamsters. As of January 31, 2022, we are engaged in good faith bargaining with the Teamsters at two locations where employees voted in favor of union representation.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2019, a majority of employees at our LTL service centers in Laredo, TX and Aurora, IL, voted to decertify the Teamsters as the employees’ representative. In December 2020, a majority of employees at our LTL service center in Cinnaminson, NJ also voted to decertify the Teamsters as their bargaining representative. In August 2021, drivers at our LTL service center in Los Angeles, CA also filed a decertification petition. In October 2021, the Teamsters disclaimed interest in continuing to represent the employees at that location. In September 2021, employees at our Bakersfield, CA service center filed a petition to decertify the Teamsters and later that month the Teamsters disclaimed interest in continuing to represent employees at that location. Likewise, in November 2021, the Teamsters withdrew its petition for an election at our Kansas City LTL service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542290</wp:posOffset>
            </wp:positionV>
            <wp:extent cx="32575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Since 2014, the Teamsters have withdrawn seven petitions seeking elections on behalf of LTL employees prior to the election being held, and the Machinists withdrew one petition for an LTL election on behalf of a small group of shop employees. Today, only 184 North American LTL employees are represented by a union, of which only 98 are subject to a collective bargaining agreement.</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January 2022, LTL employees at our Trenton, NJ service center filed a deauthorization petition with the NLRB seeking to withdraw the authority of the Teamsters to require union employees to pay union dues to retain their XPO jobs. The outcome of that vote is pending.</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Finally, in January 2022, the Teamsters filed a petition for an election with the NLRB seeking to represent approximately 250 owner operators at our Intermodal's Commerce and San Diego, CA Intermodal locations, and the drivers they employ, who are independent contractors. The Teamsters argue that the owner operators and their drivers are misclassified and that they are, in fact, XPO employees entitled to organize under the National Labor Relations Act. We will vigorously oppose the Teamsters’ efforts. Although we have properly classified these workers under the current legal precedent as independent contractors as opposed to employees, the NLRB and its General Counsel have signaled the possible reversal of that precedent, and other pro-employer precedents. In addition, the NLRB and the U.S. Department of Labor have entered into a Memorandum of Understanding regarding the exchange of information and cooperation in enforcement activities regarding misclassification issues. The White House Task Force on Worker Organizing and Empowerment released a report on February 7, 2022 with numerous pro-labor recommendations regarding, among others, federal government support of union organizing efforts and enforcement against companies that misclassify employees as independent contractors. There can be no assurance that increased government regulation and enforcement in this area will not increase our costs or have an adverse effect on our results of operations, cash flows and businesses.</w:t>
      </w:r>
    </w:p>
    <w:p>
      <w:pPr>
        <w:spacing w:after="0" w:line="12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predict with certainty whether further organizing efforts may result in the unionization of any additional locations in the U.S. There can be no assurance that decertification will succeed at any of our facilities with union representation. If union efforts are successful, these efforts may result in increased costs and decreased efficiencies at the specific locations where representation is elected, and have an adverse effect on our results of operations, cash flows and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we believe that separating our Logistics segment into a stand-alone, publicly traded company has provided financial, operational and other benefits to us and our stockholders, we cannot provide assurance that we will achieve the full strategic and financial benefits expected from the spin-off. If we do not realize the intended benefits of the spin-off, we could suffer a material adverse effect on our business, financial conditions, results of operations and cash flows.</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XPO and XPO stockholders could be subject to significant tax liabilities. In addition, if certain internal restructuring transactions were to fail to qualify as transactions that are generally tax-free for U.S. federal or non-U.S. income tax purposes, we could be subject to significant tax liabilities.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was a condition to the spin-off that we receive an opinion of outside counsel regarding the qualification of the spin-off, together with certain related transactions, as a “reorganization” within the meaning of Sections 355 and 368(a)(1)(D) of the Internal Revenue Code. The opinion of counsel was based upon and relied on, among other things, various facts and assumptions, as well as certain representations, statements and undertakings of XPO and GXO, including those relating to the past and future conduct of XPO and GXO. If any of these facts, assumptions, representations, statements or undertakings is, or becomes, inaccurate or incomplete, or if XPO or GXO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552450</wp:posOffset>
            </wp:positionV>
            <wp:extent cx="3257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Notwithstanding receipt of the opinion of counsel, the U.S. Internal Revenue Service (the “IRS”) could determine that the spin-off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Accordingly, notwithstanding receipt of the opinion of counsel, there can be no assurance that the IRS will not assert that the spin-off and/or certain related transactions do not qualify for tax-free treatment for U.S. federal income tax purposes or that a court would not sustain such a challenge. In the event the IRS were to prevail with such challenge, XPO and XPO stockholders could be subject to significant U.S. federal income tax liability.</w:t>
      </w:r>
    </w:p>
    <w:p>
      <w:pPr>
        <w:spacing w:after="0" w:line="11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the spin-off,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(unless XPO and GXO jointly make an election under Section 336(e) of the Code with respect to the spin-off, in which case, in general, (a) XPO would recognize taxable gain as if GXO had sold all of its assets in a taxable sale in exchange for an amount equal to the fair market value of GXO common stock and the assumption of all its liabilities and (b) GXO would obtain a related step-up in the basis of its assets), and GXO stockholders who receive such GXO shares in the spin-off would be subject to tax as if they had received a taxable distribution equal to the fair market value of such shares.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each of XPO and GXO agreed to indemnify each other for certain liabilities. If we are required to pay under these indemnities to GXO, our financial results could be negatively impacted. The GXO indemnities may not be sufficient to hold us harmless from the full amount of liabilities for which GXO will be allocated responsibility, and GXO may not be able to satisfy its indemnification obligations in the future.</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separation and distribution agreement and certain other agreements between XPO and GXO, each party agrees to indemnify the other for certain liabilities, in each case for uncapped amounts. Indemnities that we may be required to provide GXO are not subject to any cap, may be significant and could negatively impact our business. Third parties could also seek to hold us responsible for any of the liabilities that GXO has agreed to retain. Any amounts we are required to pay pursuant to these indemnification obligations and other liabilities could require us to divert cash that would otherwise have been used in furtherance of our operating business. Further, the indemnities from GXO for our benefit may not be sufficient to protect us against the full amount of such liabilities, and GXO may not be able to fully satisfy its indemnification obligations.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Moreover, even if we ultimately succeed in recovering from GXO any amounts for which we are held liable, we may be temporarily required to bear these losses ourselves. Each of these risks could negatively affect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Certain of our businesses rely on owner-operators and contract carriers to conduct their operations, and the status of these parties as independent contractors, rather than employees, is being challenged.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involved in numerous lawsuits, including class action lawsuits, multi-plaintiff and individual lawsuits, and state tax and other administrative proceedings that claim that our contract carriers or owner-operators or their drivers should be treated as our employees, rather than independent contractors, or that certain individuals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 In addition, we incur certain costs, including legal fees, in defending the status of these parties as independent contractors.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we believe that our contract carriers and owner-operators and their drivers are properly classified as independent contractors rather than as employees, adverse final outcomes in these matters could, among other things, entitle certain of our contract carriers and owner-operators and their drivers to reimbursement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certain expenses and to the benefit of wage-and-hour laws and result in employment and withholding tax and benefit liability for us, and could result in changes to the independent contractor status of our contract carriers and owner-operators. Changes to state or federal laws governing the definition of independent contractors could also impact the status of our contract carriers and owner-operators. Adverse final outcomes in these matters or changes to state or federal laws could cause us to change our business model, which could have a material adverse effect on our business strategies, financial condition, results of operations or cash flows. These claims involve potentially significant classes that could involve thousands of claimants and, accordingly, significant potential damages and litigation costs, and could lead others to bring similar claims.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results of these matters cannot be predicted with certainty and an unfavorable resolution of one or more of these matters could have a material adverse effect on our financial condition,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involved in multiple lawsuits and are subject to various claims that could result in significant expenditures and impact our operations.</w:t>
      </w:r>
    </w:p>
    <w:p>
      <w:pPr>
        <w:spacing w:after="0" w:line="14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nature of our business exposes us to the potential for various types of claims and litigation. In addition to the matters described in the risk factor “Certain of our businesses rely on owner-operators and contract carriers to conduct their operations, and the status of these parties as independent contractors, rather than employees, is being challenged,”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the frequency or severity of vehicular accidents, liability claims or workers’ compensation claims, or the unfavorable resolution of claims, or our failure to recover, in full or in part, under indemnity provisions with transportation providers, could materially and adversely affect our operating results. Our involvement in the transportation of certain goods, including but not limited to hazardous materials, could also increase our exposure in the event that we or one of our contracted carriers is involved in an accident resulting in injury or contamination. In addition, significant increases in insurance costs or the inability to purchase insurance as a result of these claims could reduce our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the number or severity of self-insured claims or an increase in insurance premiums could have an adverse effect on us.</w:t>
      </w:r>
    </w:p>
    <w:p>
      <w:pPr>
        <w:spacing w:after="0" w:line="1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a combination of self-insurance programs and purchased insurance to provide for the costs of employee medical, vehicular collision and accident, cargo and workers’ compensation claims. Our estimated liability for self-retained insurance claims reflects certain actuarial assumptions and judgments, which are subject to a degree of variability. We reserve for anticipated losses and expenses and periodically evaluate and adjust our claims reserves to reflect our experience. Estimating the number and severity of claims, as well as related judgment or settlement amounts, is inherently difficult. This inherent difficulty, along with legal expenses, incurred but not reported claims, and other uncertainties can cause unfavorable differences between actual self-insurance costs and our reserve estimates. Accordingly, our ultimate results may differ from our estimates, which could result in losses over our reserved amounts. We periodically evaluate our level of insurance coverage and adjust insurance levels based on targeted risk tolerance and premium expense. An increase in the number or severity of self-insured claims or an increase in insurance premiums could have an adverse effect on us, while higher self-insured retention levels may increase the impact of loss occurrences on our results of operations.</w:t>
      </w:r>
    </w:p>
    <w:p>
      <w:pPr>
        <w:spacing w:after="0" w:line="11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are currently subject to securities class action litigation and may be subject to similar litigation in the future. Such matters can be expensive, time-consuming and have a material adverse effect on our business, results of operations and financial condition.</w:t>
      </w:r>
    </w:p>
    <w:p>
      <w:pPr>
        <w:spacing w:after="0" w:line="3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currently subject to securities class action litigation alleging violations of securities laws, which could harm our business and require us to incur significant costs. In December 2018, two purported class action lawsuits were filed against us and certain of our officers; these lawsuits alleged that we made false and misleading statements, purported to assert claims for violations of federal securities laws and sought unspecified compensatory damages and other relief. One class action lawsuit has since been voluntarily dismissed. In March 2021, the court dismissed the second class action lawsuit with prejudice. In April 2021, the plaintiffs appealed the court’s decision to dismiss the second class action lawsuit. While we believe that we have a number of valid defenses to the claims described above and intend to vigorously defend ourselves in the remaining class action lawsuit, the matter is in the appellate process and no assessment can be made as to the likely outcome of the matter or whether it will be material to us. Also, we may be subject to additional proceedings of this type in the future, which could require significant attention from management or result in significant legal expenses, settlement costs or damage awards, any of which could have a material impact on our financial position, results of operations and cash flows.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maintain defined benefit pension plans and a postretirement medical plan. Our defined benefit pension plans include funded and unfunded plans in the U.S.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 significantly increase our contribution requirements. As a result, we are unable to predict the effect on our financial statements associated with our defined benefit pension plans and our postretirement medical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results of operations and cash flows. 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In addition, the current U.S. presidential administration has called for changes to fiscal and tax policies, which may include comprehensive tax reform. These and other tax laws and related regulations changes, to the extent adopted, may increase tax uncertainty and/or our effective tax rate, result in higher compliance cost and adversely affect our provision for income taxes, results of operations and/or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governmental regulations and political conditions, which could negatively impact our business.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operations are regulated and licensed by various governmental agencies in the U.S. and in foreign countries where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independent contractors must also comply with applicable regulations and requirements of various agencies. Through our subsidiaries and operations, we hold various licenses required to carry out our domestic and international services. These licenses permit us to provide services as a motor carrier, property broker, customs broker, indirect air carrier, OTI, NVOCC, freight forwarder, air freight forwarder,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533400</wp:posOffset>
            </wp:positionV>
            <wp:extent cx="3257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ocean freight forwarder. In addition, we are subject to regulations and requirements promulgated by the DOT, FMCSA, DHS, CBP, TSA, FMC, IATA, Canada Border Services Agency and various other international, domestic, state and local agencies and port authorities.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Certain of our businesses engage in the transportation of hazardous materials, the movement, handling and accidental discharge of which are highly regulated. Our failure to maintain the required licenses, or to comply with applicable regulations, could have a material adverse impact on our business and results of operations. See the “Regulation” section under Item 1, “Business” for more information.</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Future laws and regulations may be more stringent and may require changes to our operating practices that influence the demand for our services or require us to incur significant additional costs. We are unable to predict the impact that recently enacted and future regulations may have on our business. In particular, it is difficult to predict which, and in what form, FMCSA regulations may be modified or enforced, and what impact these regulations may have on motor carrier operations or on the aggregate number of trucks that provide hauling capacity to XPO. If higher costs are incurred by us as a result of future changes in regulations, or by the independent contractors or third-party transportation providers who pass increased costs on to us, this could adversely affect our results of operations to the extent we are unable to obtain a corresponding increase in price from our customers.</w:t>
      </w:r>
    </w:p>
    <w:p>
      <w:pPr>
        <w:spacing w:after="0" w:line="1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Furthermore, political conditions may increase the level of intensity of regulations that impact our business, may require changes to our operating practices, may influence demand for our services, or may require us to incur significant additional costs, any of which could negatively impact our business.</w:t>
      </w:r>
    </w:p>
    <w:p>
      <w:pPr>
        <w:spacing w:after="0" w:line="70"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Failure to comply with trade compliance laws and regulations applicable to our operations may subject us to liability and result in mandatory or voluntary disclosures to government agencies of transactions or dealings involving sanctioned countries, entities or individuals.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result of our acquisition activities, we acquired companies with business operations outside the U.S., some of which were not previously subject to certain U.S. laws and regulations, including trade sanctions administered by the Office of Foreign Assets Control (“OFAC”) of the U.S. Department of the Treasury. In the course of implementing our compliance processes with respect to the operations of these acquired companies, we have identified a number of transactions or dealings involving countries and entities that are subject to U.S. economic sanctions. As disclosed in our reports filed with the SEC, we filed initial voluntary disclosure of such matters with OFAC in August 2016. In August 2018, OFAC addressed these matters by responding with a cautionary letter to us. To our knowledge, OFAC is considering no further action in response to the voluntary disclosure filed by us in August 2016. We may, in the future, identify additional transactions or dealings involving sanctioned countries, entities or individuals. The transactions or dealings that we have identified to date, or other transactions or dealings that we may identify in the future, could result in negative consequences to us, including government investigations, penalties and reputational harm.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 Competition and Brexit</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 (i) competition from other transportation services companies, some of which offer different services or have a broader coverage network, more fully developed information technology systems and greater capital resources than we do; (ii) a reduction in the rates charged by our competitors to gain business, especially during times of declining economic growth, which may limit our ability to maintain or increase our rates, maintain our operating margins or achieve significant growth in our business; (iii) shippers soliciting bids from multiple transportation providers for their shipping needs, which may result in the depression of freight rates or loss of business to competitors; (iv) the establishment by our competitors of cooperative relationships to increase their ability to address shipper needs; (v) decisions by our current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542290</wp:posOffset>
            </wp:positionV>
            <wp:extent cx="32575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prospective customers to develop or expand internal capabilities for some of the services we provide; and (vi) the development of new technologies or business models that could result in our disintermediation in certain services we provide.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have a negative effect on global economic conditions, financial markets and our operations.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June 2016, a majority of voters in the U.K. voted in favor of the U.K.’s withdrawal from the EU (“Brexit”) in a national referendum. On January 31, 2020, the U.K. withdrew from the EU. The referendum and subsequent withdrawal of the U.K. from the EU have created significant uncertainty about the future relationship between the U.K. and the EU and will have uncertain impacts on our transportation operations in Europe. In 2021, we derived approximately 7% of our revenue from the U.K. and an aggregate 17% from the rest of the European countries where we operate.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Brexit, the movement of goods between the U.K. and the remaining member states of the EU has become subject to additional inspections and documentation checks, which may create delays at ports of entry and departure and potential impacts on our ability to efficiently provide our transportation service. Moreover, currency volatility could drive a weaker U.K. pound which could result in a decrease in our reported consolidated financial results for the U.K., which are reported in U.S. dollars.</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Any adverse consequences of Brexit, such as a deterioration in the U.K.’s or the EU’s economic condition, currency exchange rates, bilateral trade agreements or regulatory trade environment, including the potential imposition of tariffs, could reduce demand for our services in the U.K. or the EU or otherwise have a negative impact on our operations,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175"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chairman and chief executive officer beneficially owns a large portion of our stock and has substantial control over us, which could limit other stockholders’ ability to influence the outcome of key transactions, including changes of control, and any sales of our common stock by Mr. Jacobs (or the perception that such sales may occur) could adversely impact the volume of trading, liquidity and market price of our common stock.</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applicable SEC rules, our chairman and chief executive officer, Mr. Jacobs, beneficially owned approximately 10.7% of our outstanding common stock as of December 31, 2021.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and our directors and officers (for example, if such persons decide to sell all or a portion of their shares), including shares beneficially owned by Mr. Jacobs, could adversely impact the volume of trading, liquidity and market price of our common stock.</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572135</wp:posOffset>
            </wp:positionV>
            <wp:extent cx="32575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December 31, 2021, we operated approximately 771 locations, primarily in North America and Europe. These facilities are located in all 48 contiguous U.S. states, as well as globally.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 (Location)</w:t>
            </w:r>
          </w:p>
        </w:tc>
        <w:tc>
          <w:tcPr>
            <w:tcW w:w="1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Leased Facilities</w:t>
            </w:r>
          </w:p>
        </w:tc>
        <w:tc>
          <w:tcPr>
            <w:tcW w:w="1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Owned Facilities</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Customer</w:t>
            </w:r>
          </w:p>
        </w:tc>
        <w:tc>
          <w:tcPr>
            <w:tcW w:w="176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2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 xml:space="preserve">Facilities </w:t>
            </w:r>
            <w:r>
              <w:rPr>
                <w:rFonts w:ascii="Arial" w:cs="Arial" w:eastAsia="Arial" w:hAnsi="Arial"/>
                <w:sz w:val="18"/>
                <w:szCs w:val="18"/>
                <w:b w:val="1"/>
                <w:bCs w:val="1"/>
                <w:color w:val="auto"/>
                <w:w w:val="89"/>
                <w:vertAlign w:val="superscript"/>
              </w:rPr>
              <w:t>(2)</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American LTL</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Brokerage and Other Services: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North America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3820" w:type="dxa"/>
            <w:vAlign w:val="bottom"/>
            <w:gridSpan w:val="2"/>
          </w:tcPr>
          <w:p>
            <w:pPr>
              <w:ind w:left="680"/>
              <w:spacing w:after="0"/>
              <w:rPr>
                <w:sz w:val="20"/>
                <w:szCs w:val="20"/>
                <w:color w:val="auto"/>
              </w:rPr>
            </w:pPr>
            <w:r>
              <w:rPr>
                <w:rFonts w:ascii="Arial" w:cs="Arial" w:eastAsia="Arial" w:hAnsi="Arial"/>
                <w:sz w:val="18"/>
                <w:szCs w:val="18"/>
                <w:color w:val="auto"/>
              </w:rPr>
              <w:t>Europe</w:t>
            </w:r>
          </w:p>
        </w:tc>
        <w:tc>
          <w:tcPr>
            <w:tcW w:w="17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Brokerage and Other Services</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Locations not in North America or Europe; primarily in Asia.</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leased locations and customer sites (owned or leased by customers).</w:t>
      </w:r>
    </w:p>
    <w:p>
      <w:pPr>
        <w:spacing w:after="0" w:line="16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lease our current executive office located in Greenwich, Connecticut, as well as our national operations center in Charlotte, North Carolina, our shared-services center in Portland, Oregon and various office facilities in France, the U.K. and India to support our global executive and shared-services functions. We believe that our facilities are sufficient for our current needs.</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Information with respect to certain legal proceedings is included in Note 18—Commitments and Contingencies to our Consolidated Financial Statements (included in Part II, Item 8 of this Annual Report) and is incorporated herein by reference. For an additional discussion of certain risks associated with legal proceedings, see “Risk Factors” above.</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under the symbol XPO.</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February 11, 2022, there were approximately 115 registered holders of our common stock. We have never paid, and have no immediate plans to pay, cash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graph below compares the cumulative five-year total return of holders of our common stock with the cumulative performance of the Dow Jones Transportation Average index and the S&amp;P 400 MidCap index. The graph assumes that the value of the investment in our common stock and each index was $100 on December 31, 2016 and that all dividends and other distributions, including the effect of the spin-off of GXO, were reinvested. The comparisons in the graph below are based on historical data and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-27940</wp:posOffset>
            </wp:positionV>
            <wp:extent cx="5332095" cy="3934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209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12/31/17</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12/31/18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12/31/19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12/31/21</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XPO Logistics, Inc.</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Dow Jones Transportation Average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119.02</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195.72</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400 MidCap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360"/>
        <w:spacing w:after="0" w:line="4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XPO Logistics is a leading provider of freight transportation services. We use our proprietary technology to move goods efficiently through our customers’ supply chains, primarily by providing less-than-truckload (“LTL”) and truck brokerage services. These two core lines of business generated the majority of our 2021 revenue and operating income.</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company has two reportable segments — (i) North American LTL and (ii) Brokerage and Other Services — and within each segment, we are a leading provider in vast, fragmented transportation sectors with growing penetration. We believe that our substantial exposure to secular industry growth trends, our first-mover advantage as an innovator and our blue-chip customer relationships are compelling competitive advantages.</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2, 2021, we completed the previously announced spin-off of our Logistics segment in a transaction intended to qualify as tax-free to XPO and our stockholders for U.S. federal income tax purposes, which was accomplished by the distribution of 100% of the outstanding common stock of GXO Logistics, Inc. (“GXO”) to XPO stockholders. XPO stockholders received one share of GXO common stock for every share of XPO common stock held at the close of business on July 23, 2021, the record date for the distribution. XPO does not beneficially own any shares of GXO’s common stock following the spin-off. GXO is an independent public company trading under the symbol “GXO” on the New York Stock Exchange. The historical results of GXO are presented as discontinued operations and, as such, have been excluded from both continuing operations and segment results for all periods presented.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and Supply Chain Challenges</w:t>
      </w:r>
    </w:p>
    <w:p>
      <w:pPr>
        <w:spacing w:after="0" w:line="17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a leading provider of freight transportation services, our business can be impacted to varying degrees by factors beyond our control. The COVID-19 pandemic that emerged in 2020 affected, and may continue to affect, economic activity broadly and customer sectors served by our industry.</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onset of the COVID-19 pandemic and associated impacts on economic activity had adverse effects on our results of operations and financial condition beginning in the second quarter of 2020 and continued throughout the year. The rebound of our business began to occur midway through 2020; however, as the economy recovers, demand has outpaced supply in certain sectors. Additionally, labor shortages in the recovery – notably, a reduced supply of truck drivers – present challenges to many service industries, including freight transportation. These dynamics, together with equipment shortages and pent-up demand for semiconductor chips used by some of our end markets, have created supply chain disruptions and increased our cost of transportation and services. We cannot predict how long the current labor shortages and other disruptions will last, or whether future disruptions, if any, will adversely affect our results of operations.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continue to incur net incremental and direct costs related to COVID-19 to ensure that we meet the needs of our employees and customers; these include costs for personal protective equipment (“PPE”), site cleanings and enhanced employee benefits, referred to as COVID-19-related costs in this Annual Report.</w:t>
      </w:r>
    </w:p>
    <w:p>
      <w:pPr>
        <w:spacing w:after="0" w:line="13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totality of the actions we have taken during the pandemic, and continue to take, have mitigated the impact on our profitability relative to the impact on our revenue and volumes, while our strong liquidity and disciplined capital management enable us to continue to invest in key growth initiatives.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Inflation can have a negative impact on our operating costs. A prolonged period of inflation could cause interest rates, fuel, wages and other costs to increase, which would adversely affect our results of operations unless our pricing to our customers correspondingly increases. For the year ended December 31, 2021, the constrained labor market resulted in higher third-party transportation and fuel costs to meet growing demand which were partially offset by increased pricing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547370</wp:posOffset>
            </wp:positionV>
            <wp:extent cx="3257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Percent of Revenue</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220" w:type="dxa"/>
            <w:vAlign w:val="bottom"/>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66"/>
        </w:trPr>
        <w:tc>
          <w:tcPr>
            <w:tcW w:w="39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Cost of transportation and services (exclusive</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8,945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69.9 %</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68.1 %</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09"/>
        </w:trPr>
        <w:tc>
          <w:tcPr>
            <w:tcW w:w="3900" w:type="dxa"/>
            <w:vAlign w:val="bottom"/>
            <w:gridSpan w:val="2"/>
          </w:tcPr>
          <w:p>
            <w:pPr>
              <w:ind w:left="360"/>
              <w:spacing w:after="0"/>
              <w:rPr>
                <w:sz w:val="20"/>
                <w:szCs w:val="20"/>
                <w:color w:val="auto"/>
              </w:rPr>
            </w:pPr>
            <w:r>
              <w:rPr>
                <w:rFonts w:ascii="Arial" w:cs="Arial" w:eastAsia="Arial" w:hAnsi="Arial"/>
                <w:sz w:val="16"/>
                <w:szCs w:val="16"/>
                <w:color w:val="auto"/>
              </w:rPr>
              <w:t>of depreciation and 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Direct operating expense (exclusive</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2"/>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of depreciation and amortization)</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Transaction and integration costs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7"/>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2"/>
        </w:trPr>
        <w:tc>
          <w:tcPr>
            <w:tcW w:w="3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900" w:type="dxa"/>
            <w:vAlign w:val="bottom"/>
            <w:gridSpan w:val="2"/>
          </w:tcPr>
          <w:p>
            <w:pPr>
              <w:ind w:left="300"/>
              <w:spacing w:after="0"/>
              <w:rPr>
                <w:sz w:val="20"/>
                <w:szCs w:val="20"/>
                <w:color w:val="auto"/>
              </w:rPr>
            </w:pPr>
            <w:r>
              <w:rPr>
                <w:rFonts w:ascii="Arial" w:cs="Arial" w:eastAsia="Arial" w:hAnsi="Arial"/>
                <w:sz w:val="16"/>
                <w:szCs w:val="16"/>
                <w:color w:val="auto"/>
              </w:rPr>
              <w:t>Foreign currency (gain) loss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Debt extinguishment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45"/>
        </w:trPr>
        <w:tc>
          <w:tcPr>
            <w:tcW w:w="390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Income (loss) from continuing operations</w:t>
            </w: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before income tax provision (benefit)</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66"/>
        </w:trPr>
        <w:tc>
          <w:tcPr>
            <w:tcW w:w="3900" w:type="dxa"/>
            <w:vAlign w:val="bottom"/>
            <w:gridSpan w:val="2"/>
          </w:tcPr>
          <w:p>
            <w:pPr>
              <w:ind w:left="360"/>
              <w:spacing w:after="0" w:line="166" w:lineRule="exact"/>
              <w:rPr>
                <w:sz w:val="20"/>
                <w:szCs w:val="20"/>
                <w:color w:val="auto"/>
              </w:rPr>
            </w:pPr>
            <w:r>
              <w:rPr>
                <w:rFonts w:ascii="Arial" w:cs="Arial" w:eastAsia="Arial" w:hAnsi="Arial"/>
                <w:sz w:val="16"/>
                <w:szCs w:val="16"/>
                <w:color w:val="auto"/>
              </w:rPr>
              <w:t>Income from discontinued operations,</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of taxes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consolidated revenue for 2021 increased by 25.6% to $12.8 billion, from $10.2 billion in 2020. The increase primarily reflects growth in both our LTL and truck brokerage businesses and the negative impact of COVID-19 in 2020, which decreased demand for our services. Foreign currency movement increased revenue by approximately 0.9 percentage points in 2021.</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Cost of transportation and services (exclusive of depreciation and amortization) includes the cost of providing or procuring freight transportation for XPO customers and salaries paid to employee drivers in our LTL and truck brokerage businesses.</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Cost of transportation and services (exclusive of depreciation and amortization) in 2021 was $8.9 billion, or 69.9% of revenue, compared with $7.0 billion, or 68.1% of revenue in 2020. The year-over-year increase as a percentage of revenue reflects the constrained labor market, which resulted in higher third-party transportation costs. These increases were partially offset by lower compensation-related costs, including COVID-19-related costs.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 operating expenses (exclusive of depreciation and amortization) are comprised of both fixed and variable expenses and consist of operating costs related to our LTL service centers. Direct operating expenses (exclusive of depreciation and amortization) consist mainly of personnel costs, facility and equipment expenses, such as rent, utilities, equipment maintenance and repair, costs of materials and supplies, information technology expenses, and gains and losses on sales of property and equipment.</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Direct operating expense (exclusive of depreciation and amortization) in 2021 was $1.4 billion, or 10.9% of revenue, compared with $1.2 billion, or 12.1% of revenue, in 2020. The year-over-year decrease as a percentage of revenue was primarily driven by lower COVID-19 related costs as well as the leveraging of compensation and facilities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across a larger revenue base. Additionally, 2021 and 2020 included $73 million and $90 million, respectively, from gains on sales of property and equipment.</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Sales, general and administrative expense (“SG&amp;A”) primarily consists of salaries and commissions for the sales function, salary and benefit costs for executive and certain administration functions, professional fees, facility costs, bad debt expense and legal costs.</w:t>
      </w:r>
    </w:p>
    <w:p>
      <w:pPr>
        <w:spacing w:after="0" w:line="11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SG&amp;A was $1.3 billion in 2021, or 10.3% of revenue, compared with $1.2 billion, or 11.9% of revenue, in 2020. The year-over-year decrease in SG&amp;A as a percentage of revenue was primarily driven by lower self-insurance expense, compensation costs, bad debt expense and third-party professional fees, as well as lower COVID-19-related costs. These impacts were partially offset by higher employee healthcare costs and legal costs, including $31 million incurred in 2021 related to settlements in connection with classification of independent contractors at our intermodal drayage business unit. See Note 18— Commitments and Contingencies to our Consolidated Financial Statements for further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 2021 was $476 million, compared with $470 million in 2020.</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Transaction and integration costs in 2021 were $37 million, compared with $75 million in 2020. Transaction and integration costs for 2021 and 2020 are primarily comprised of third-party professional fees related to strategic initiatives, including the spin-off of the Logistics segment, as well as retention awards paid to certain employees. Additionally, transaction and integration costs for 2020 included professional fees related to our previously announced exploration of strategic alternatives that was terminated in March 2020.</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Restructuring costs in 2021 were $19 million, compared with $31 million in 2020. We engage in restructuring actions as part of our ongoing efforts to best use our resources and infrastructure, including actions in connection with our spin-off and in response to COVID-19. For more information, see Note 6— Restructuring Charges to our Consolidated Financial Statements. Upon successful completion of the restructuring initiatives recorded in 2021, we expect to achieve annualized pre-tax run-rate savings of approximately $25 million by the end of 2022.</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income primarily consists of pension income. Other income for 2021 was $57 million, compared with $41 million in 2020. The year-over-year increase reflects $15 million of higher net periodic pension income in 2021.</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Foreign currency (gain) loss was a $2 million gain in 2021, compared with a $3 million gain in 2020. Foreign currency (gain) loss in 2021 primarily reflected a realized gain on de-designated cross-currency contract. Foreign currency gain in 2020 primarily reflected unrealized gains on foreign currency option and forward contracts and a realized gain on a terminated net investment hedge, partially offset by foreign currency transaction and measurement losses. For additional information on our foreign currency option and forward contracts, see Note 11—Derivative Instruments to our Consolidated Financial Statements.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Debt extinguishment loss was $54 million in 2021. In 2021, we redeemed our outstanding senior notes due 2022, 2023 and 2024 and wrote-off related debt issuance costs, incurred a pre-payment penalty on the redemption of the 2024 senior notes and incurred costs related to the amendment of our term loan credit agreement. There were no debt extinguishment losses in 2020.</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for 2021 decreased 31.3% to $211 million, from $307 million in 2020. The decrease in interest expense reflected the lower average debt balances, including the redemption of our senior notes and amendment of our term loan agreement.</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consolidated income (loss) from continuing operations before income taxes in 2021 was income of $410 million, compared with a loss of $35 million in 2020. The increase primarily was driven by higher operating income and lower interest expense, partially offset by the debt extinguishment loss recorded in 2021. With respect to our U.S. operations, income from continuing operations before income taxes was income of $420 million in 2021, compared with income of $45 million in 2020. The increase was primarily due to higher revenue, in part from the negative impact of COVID-19 on our 2020 results, partially offset by higher third-party transportation, fuel and personnel costs. Additionally impacting the increase was lower interest expense, partially offset by the debt extinguishment loss recorded in 2021. With respect to our non-U.S. operations,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533400</wp:posOffset>
            </wp:positionV>
            <wp:extent cx="32575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before income taxes was $10 million in 2021, compared with a loss of $80 million in 2020. The decrease in the loss was primarily due to higher revenues, in part from the negative impact of COVID-19 on our 2020 results, partially offset by higher third-party transportation, fuel and personnel costs.</w:t>
      </w:r>
    </w:p>
    <w:p>
      <w:pPr>
        <w:spacing w:after="0" w:line="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effective income tax rates were 21.3% and 63.4% in 2021 and 2020, respectively. The decrease in our effective income tax rate for the year ended December 31, 2021 compared to the year ended December 31, 2020 was primarily driven by reduced contribution and margin-based taxes coupled with increased pre-tax book income and the impact of discrete items. For the year ended December 31, 2021, our effective tax rate was impacted by discrete tax benefits of $45 million related to a tax planning initiative that resulted in the recognition of a long-term capital loss partially offset by discrete tax expenses of $39 million related to foreign valuation allowances, of which $34 million of the valuation allowances were transferred to GXO. Additionally, impacting the year ended December 31, 2021, were $8 million of non-deductible compensation, discrete tax benefits of $8 million resulting from changes in reserves for uncertain tax positions and discrete tax benefits of $6 million related to stock-based compensation.</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 ended December 31, 2020, our effective tax rate was impacted primarily by a pre-tax book loss, $8 million of contribution and margin-based taxes, foreign rate differential benefit of $3 million, discrete tax benefits of $15 million related to stock-based compensation and $6 million of discrete tax benefits related to provision to return adjustments, partially offset by a discrete tax expense of $4 million related to changes in reserves for uncertain tax positions.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consolidated revenue for 2020 decreased by 4.5% to $10.2 billion, from $10.7 billion in 2019. The decline in revenue primarily reflected the impact of COVID-19 and lower fuel revenue. Foreign currency movement increased revenue by approximately 0.4 percentage points in 2020.</w:t>
      </w:r>
    </w:p>
    <w:p>
      <w:pPr>
        <w:spacing w:after="0" w:line="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Cost of transportation and services (exclusive of depreciation and amortization) in 2020 was $7.0 billion, or 68.1% of revenue, compared with $7.4 billion, or 68.9% of revenue in 2019. The year-over-year decrease as a percentage of revenue reflects lower fuel costs, partially offset by higher third-party transportation costs and incremental PPE and other COVID-19-related costs.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 operating expense (exclusive of depreciation and amortization) in 2020 was $1.2 billion, or 12.1% of revenue, compared with $1.2 billion, or 11.1% of revenue, in 2019. The year-over-year increase as a percentage of revenue was primarily driven by higher facility and payroll costs and incremental PPE and other COVID-19-related costs. Additionally, 2020 and 2019 included $90 million and $101 million, respectively, from gains on sales of property and equipment.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was $1.2 billion in 2020, or 11.9% of revenue, compared with $1.1 billion, or 10.0% of revenue, in 2019. The year-over-year increase in SG&amp;A as a percentage of revenue was primarily driven by higher compensation costs, increased self-insurance and bad debt expense and incremental PPE and other COVID-19-related costs. Compensation costs were higher in 2020 compared to the prior year due to the strength of our operating performance in a challenging macro-environment.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 2020 was $470 million, compared with $467 million in 2019.</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Transaction and integration costs in 2020 were $75 million, compared with $5 million in 2019. Transaction and integration costs for 2020 are primarily related to our previously announced exploration of strategic alternatives that was terminated in March 2020.</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Restructuring costs in 2020 were $31 million, compared with $35 million in 2019. We engage in restructuring actions as part of our ongoing efforts to best use our resources and infrastructure, including actions in response to COVID-19.</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income primarily consists of pension income. Other income for 2020 was $41 million, compared with $23 million in 2019. The year-over-year increase reflects $21 million of higher net periodic pension income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Foreign currency (gain) loss was a $3 million gain in 2020, compared with a $10 million loss in 2019. Foreign currency gain in 2020 primarily reflected unrealized gains on foreign currency option and forward contracts and a realized gain on a terminated net investment hedge, partially offset by foreign currency transaction and measurement losses. Foreign currency loss in 2019 primarily reflected unrealized losses on foreign currency option and forward contracts.</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Debt extinguishment loss was $5 million in 2019 and related to the write-off of debt issuance costs for an unsecured credit facility (“Unsecured Credit Facility”) that was repaid in 2019. There were no debt extinguishment losses in 2020.</w:t>
      </w:r>
    </w:p>
    <w:p>
      <w:pPr>
        <w:spacing w:after="0" w:line="11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Interest expense for 2020 increased 14.6% to $307 million, from $268 million in 2019. The increase in interest expense was primarily due to higher average total indebtedness, including the senior notes due 2025 (the “Senior Notes due 2025”) that were issued in the second quarter of 2020, partially offset by lower interest rates in 2020.</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consolidated income (loss) from continuing operations before income taxes in 2020 was a loss of $35 million, compared with income of $301 million in 2019. The decrease primarily was driven by lower operating income and higher interest expense, partially offset by higher other income. With respect to our U.S. operations, income from continuing operations before income taxes was $45 million, compared with income of $286 million in 2019. The decrease was primarily due to the impact of COVID-19 and higher interest expense. With respect to our non-U.S. operations, loss from continuing operations before income taxes was $80 million in 2020, compared to income of $15 million in 2019. The decrease was primarily due to the impact of COVID-19.</w:t>
      </w:r>
    </w:p>
    <w:p>
      <w:pPr>
        <w:spacing w:after="0" w:line="13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effective income tax rates were 63.4% and 19.7% in 2020 and 2019, respectively. The increase in our effective income tax rate for the year ended December 31, 2020 compared to the year ended December 31, 2019 was primarily driven by a significant reduction in pre-tax book income and discrete items. For the year ended December 31, 2020, our effective tax rate was impacted primarily by a pre-tax book loss, $8 million of contribution and margin-based taxes, foreign rate differential benefit of $3 million, discrete tax benefits of $15 million related to stock-based compensation and $6 million of discrete tax benefits related to provision to return adjustments, partially offset by a discrete tax expense of $4 million related to changes in reserves for uncertain tax positions. Contribution and margin-based tax expense did not materially change for the year ended December 31, 2020 as compared to the prior year. However, these items had a significant impact on the Company’s 2020 effective tax rate, primarily due to the pre-tax book loss in 2020 as compared to higher pre-tax book income in 2019. For the year ended December 31, 2019, our effective tax rate was impacted by $8 million of contribution and margin-based taxes offset by discrete tax benefits of $5 million related to changes in reserves for uncertain tax positions.</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U.S. Coronavirus Aid, Relief, and Economic Security Act (the “CARES Act”) enacted in March 2020 provided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applied the provisions of the CARES Act relating to income taxes and realized a $4 million reduction in cash taxes as well as an immaterial income tax benefit on our Consolidated Statements of Income in 2020. Additionally, we benefited from the ability to defer the payment of certain payroll taxes that would otherwise have been required in 2020. We have not applied for any government loans under the CARES Act or similar 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Results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chief operating decision maker (“CODM”) regularly reviews financial information at the operating segment level to allocate resources to the segments and to assess their performance. Our CODM evaluates segment profit (loss) based on adjusted earnings before interest, taxes, depreciation and amortization (“Adjusted EBITDA”), which we define as income (loss) from continuing operations before debt extinguishment loss, interest expense, income tax, depreciation and amortization expense, litigation settlements for significant matters, transaction and integration costs, restructuring costs and other adjustments. See Note 4—Segment Reporting and Geographic Information for further information and a reconciliation of Adjusted EBITDA to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Less-Than-Truckload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Percent of Revenue</w:t>
            </w:r>
          </w:p>
        </w:tc>
        <w:tc>
          <w:tcPr>
            <w:tcW w:w="1240" w:type="dxa"/>
            <w:vAlign w:val="bottom"/>
            <w:tcBorders>
              <w:bottom w:val="single" w:sz="8" w:color="auto"/>
            </w:tcBorders>
          </w:tcPr>
          <w:p>
            <w:pPr>
              <w:spacing w:after="0"/>
              <w:rPr>
                <w:sz w:val="16"/>
                <w:szCs w:val="16"/>
                <w:color w:val="auto"/>
              </w:rPr>
            </w:pPr>
          </w:p>
        </w:tc>
      </w:tr>
      <w:tr>
        <w:trPr>
          <w:trHeight w:val="188"/>
        </w:trPr>
        <w:tc>
          <w:tcPr>
            <w:tcW w:w="37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4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3,791</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22.4 %</w:t>
            </w:r>
          </w:p>
        </w:tc>
      </w:tr>
      <w:tr>
        <w:trPr>
          <w:trHeight w:val="23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 expense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Revenue in our North American LTL segment increased 16.4% to $4.1 billion in 2021, compared with $3.5 billion in 2020. Revenue included fuel surcharge revenue of $632 million and $433 million, respectively, for the years ended December 31, 2021 and 2020.</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evaluate the revenue performance of our LTL business using several commonly used metrics, including volume (weight per day in pounds) and yield, which is a commonly used measure of LTL pricing trends. We measure yield using gross revenue per hundredweight excluding fuel surcharges. Impacts on yield can include weight per shipment and length of haul, among other factors. The following table summarizes our key revenue metrics: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ind w:right="893"/>
              <w:spacing w:after="0"/>
              <w:rPr>
                <w:sz w:val="20"/>
                <w:szCs w:val="20"/>
                <w:color w:val="auto"/>
              </w:rPr>
            </w:pPr>
            <w:r>
              <w:rPr>
                <w:rFonts w:ascii="Arial" w:cs="Arial" w:eastAsia="Arial" w:hAnsi="Arial"/>
                <w:sz w:val="16"/>
                <w:szCs w:val="16"/>
                <w:b w:val="1"/>
                <w:bCs w:val="1"/>
                <w:color w:val="auto"/>
              </w:rPr>
              <w:t>Years Ended December 31,</w:t>
            </w:r>
          </w:p>
        </w:tc>
      </w:tr>
      <w:tr>
        <w:trPr>
          <w:trHeight w:val="210"/>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Change %</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Pounds per day (thousands)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Gross revenue per hundredweight, excluding fuel surcharges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22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year-over-year increase in revenue for 2021 reflects an increase in average weight per day and gross revenue per hundredweight. The increase in weight per day for 2021 reflects higher shipments per day and weight per shipment.</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was $904 million, or 21.9% of revenue, in 2021, compared with $764 million, or 21.6% of revenue, in 2020. The increase in adjusted EBITDA was primarily driven by higher revenue and pension income, partially offset by higher personnel, third-party transportation and fuel costs. Additionally, adjusted EBITDA for 2021 included lower year-over-year gains from real estate transactions, including a $62 million gain in 2021, compared with $77 million in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in our North American LTL segment decreased 6.6% to $3.5 billion in 2020, compared with $3.8 billion in 2019. Revenue included fuel surcharge revenue of $433 million and $532 million, respectively, for the years ended December 31, 2020 and 2019. The decline in revenue reflected the impact of COVID-19.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revenue metrics: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6"/>
          </w:tcPr>
          <w:p>
            <w:pPr>
              <w:jc w:val="right"/>
              <w:ind w:right="893"/>
              <w:spacing w:after="0"/>
              <w:rPr>
                <w:sz w:val="20"/>
                <w:szCs w:val="20"/>
                <w:color w:val="auto"/>
              </w:rPr>
            </w:pPr>
            <w:r>
              <w:rPr>
                <w:rFonts w:ascii="Arial" w:cs="Arial" w:eastAsia="Arial" w:hAnsi="Arial"/>
                <w:sz w:val="16"/>
                <w:szCs w:val="16"/>
                <w:b w:val="1"/>
                <w:bCs w:val="1"/>
                <w:color w:val="auto"/>
              </w:rPr>
              <w:t>Years Ended December 31,</w:t>
            </w:r>
          </w:p>
        </w:tc>
      </w:tr>
      <w:tr>
        <w:trPr>
          <w:trHeight w:val="210"/>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Change %</w:t>
            </w: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Pounds per day (thousands)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Gross revenue per hundredweight, excluding fuel surcharges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0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year-over-year decrease in revenue for 2020 reflects a decrease in average weight per day in part due to COVID-19, partially offset by an increase in gross revenue per hundredweight. The decrease in weight per day reflects lower shipments per day and weight per shipment.</w:t>
      </w:r>
    </w:p>
    <w:p>
      <w:pPr>
        <w:spacing w:after="0" w:line="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EBITDA was $764 million, or 21.6% of revenue, in 2020, compared with $851 million, or 22.4% of revenue, in 2019. The decrease in adjusted EBITDA was primarily driven by lower revenue and higher facility costs, partially offset by lower fuel, third-party transportation and personnel costs, as well as higher pension income. Additionally, adjusted EBITDA included $77 million and $88 million in 2020 and 2019, respectively, of gains from real estate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556260</wp:posOffset>
            </wp:positionV>
            <wp:extent cx="3257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and Other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Percent of Revenue</w:t>
            </w:r>
          </w:p>
        </w:tc>
        <w:tc>
          <w:tcPr>
            <w:tcW w:w="1240" w:type="dxa"/>
            <w:vAlign w:val="bottom"/>
            <w:tcBorders>
              <w:bottom w:val="single" w:sz="8" w:color="auto"/>
            </w:tcBorders>
          </w:tcPr>
          <w:p>
            <w:pPr>
              <w:spacing w:after="0"/>
              <w:rPr>
                <w:sz w:val="16"/>
                <w:szCs w:val="16"/>
                <w:color w:val="auto"/>
              </w:rPr>
            </w:pPr>
          </w:p>
        </w:tc>
      </w:tr>
      <w:tr>
        <w:trPr>
          <w:trHeight w:val="188"/>
        </w:trPr>
        <w:tc>
          <w:tcPr>
            <w:tcW w:w="37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4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7,041</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Revenue in our Brokerage and Other Services segment increased 31.0% to $8.9 billion in 2021, compared with $6.8 billion in 2020. The increase in revenue compared to 2020 reflects an increase in North American truck brokerage loads per day facilitated by our digital platform, as well as strength in other brokerage services, in part due to improving market conditions in the economic recovery from the COVID-19 pandemic. These gains were partially offset by the impact of the global semiconductor shortage, which constrained customer demand for freight transportation services in North America and Europe. Foreign currency movement increased revenue by approximately 1.4 percentage points in 2021.</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Adjusted EBITDA was $547 million, or 6.1% of revenue in 2021, compared with $284 million, or 4.2% of revenue, in 2020. The increase in adjusted EBITDA was primarily driven by higher revenue due to load growth and strong pricing in other brokerage services, partially offset by higher compensation and facilities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Revenue in our Brokerage and Other Services segment decreased 3.4% to $6.8 billion in 2020, compared with $7.0 billion in 2019. The decline in revenue primarily reflected the impact of COVID-19 and lower fuel revenue. Foreign currency movement increased revenue by approximately 0.7 percentage points in 2020.</w:t>
      </w:r>
    </w:p>
    <w:p>
      <w:pPr>
        <w:spacing w:after="0" w:line="13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Adjusted EBITDA was $284 million, or 4.2% of revenue in 2020, compared with $406 million, or 5.8% of revenue, in 2019. The decrease in adjusted EBITDA was primarily driven by lower revenue, partially offset by lower third-party transportation, fuel and personnel costs. Depreciation and amortization expense in 2019 included $6 million related to the impairment of customer relationship intangible assets associated with exiting the direct postal injection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principal existing sources of cash are (i) cash generated from operations; (ii) borrowings available under our Second Amended and Restated Revolving Loan Credit Agreement, as amended (the “ABL Facility”); and (iii) proceeds from the issuance of other debt. As of December 31, 2021, we have $995 million available to draw under our ABL Facility, based on a borrowing base of $1.0 billion and outstanding letters of credit of $5 million. Additionally, under a credit agreement, we have a $200 million uncommitted secured evergreen letter of credit facility, under which we have issued $198 million in aggregate face amount of letters of credit as of December 31, 2021.</w:t>
      </w:r>
    </w:p>
    <w:p>
      <w:pPr>
        <w:spacing w:after="0" w:line="13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July 2021, we amended our existing ABL facility which matures in April 2024 to reduce the commitments from $1.1 billion to $1.0 billion. There were no other significant changes made to the terms of the facility, including the maturity date, the interest rate margin, and financial covenants.</w:t>
      </w:r>
    </w:p>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cash and cash equivalents balance was $260 million as of December 31, 2021, compared to $1.7 billion as of December 31, 2020. The decrease in cash and cash equivalents is largely due to the repayment of debt in 2021 described below.</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European business participates in a trade receivables securitization program co-arranged by two European banks (the “Purchasers”). Under the program, a wholly-owned bankruptcy-remote special purpose entity of XPO sells trade receivables that originate with wholly-owned subsidiaries in the United Kingdom and France to unaffiliated entities managed by the Purchasers. The special purpose entity is a variable interest entity and is consolidated by XPO based on our control of the entity’s activities. The program expires in July 2024.</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 The fair value of any servicing assets and liabilities is immaterial. Our trade receivables securitization program permits us to borrow, on an unsecured basis, cash collected in a servicing capacity on previously sold receivables, which we report within short-term debt on our Consolidated Balance Sheets.</w:t>
      </w:r>
    </w:p>
    <w:p>
      <w:pPr>
        <w:spacing w:after="0" w:line="13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maximum amount of net cash proceeds available at any one time under the securitization program, inclusive of any unsecured borrowings, is €200 million (approximately $227 million as of December 31, 2021). Prior to July 2021, when the securitization program was amended in connection with the spin-off, the maximum amount available was €400 million. As of December 31, 2021, the maximum amount available under the program was utilized.</w:t>
      </w:r>
    </w:p>
    <w:p>
      <w:pPr>
        <w:spacing w:after="0" w:line="9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Under the current program, we service the receivables we sell on behalf of the Purchasers, which gives us visibility into the timing of customer payments. The benefit to our cash flow includes the difference between the cash consideration in the table below and the amount we collected as a servicer on behalf of the Purchasers. In 2021 and 2020, we collected cash as servicer of $1.7 billion and $1.4 billion,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9"/>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00" w:type="dxa"/>
            <w:vAlign w:val="bottom"/>
          </w:tcPr>
          <w:p>
            <w:pPr>
              <w:jc w:val="right"/>
              <w:ind w:right="453"/>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473"/>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53"/>
              <w:spacing w:after="0" w:line="189"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30"/>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8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Information for the years ended December 31, 2021, 2020 and 2019 exclude the impact of the Logistics segment.</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cash considerations referenced above, we received $75 million in the year ended December 31, 2019, for the realization of cash on the deferred purchase price receivable for our prior securitization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760095</wp:posOffset>
            </wp:positionV>
            <wp:extent cx="3257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Facility</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2020, we entered into a credit agreement that contained a $200 million uncommitted secured evergreen letter of credit facility. The letter of credit facility had an initial one-year term, which automatically renewed for an additional year, and may automatically renew with one-year terms until the letter of credit facility terminates. As of December 31, 2021, we have issued $198 million in aggregate face amount of letters of credit. The credit agreement governing the letter of credit facility contains representations and warranties and affirmative and negative covenants customary for financings of this type as well as customary events of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2021, we amended our senior secured term loan credit agreement (the “Term Loan Credit Agreement”) to consolidate our tranches and lower the interest rate. We recorded a debt extinguishment loss of $3 million in 2021 due to this amendment. In March 2019, we entered into an amendment to our Term Loan Credit Agreement and borrowed an additional $500 million of incremental loans under a new tranche of term loans. Proceeds from the new tranche of loans were used for general corporate purposes, including funding purchases of our common stock as described in Note 14—Stockholders’ Equity. For more information on these amendments, refer to Note 12—Debt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third quarter of 2021, we redeemed our outstanding 6.125% senior notes due 2023 (“Senior Notes due 2023”) and our outstanding 6.75% senior notes due 2024 (“Senior Notes due 2024”). The Senior Notes due 2024 were originally issued in 2019 and the proceeds were used to repay our outstanding obligation under the Unsecured Credit Facility described below and to finance a portion of our share repurchases described in Note 14—Stockholders’ Equity. The redemption price for the Senior Notes due 2023 was 100.0% of the principal amount, plus accrued and unpaid interest and the redemption price for the Senior Notes due 2024 was 103.375% of the principle amount, plus accrued and unpaid interest. We paid for the redemption using cash received from GXO of approximately $794 million, proceeds from an equity offering described in Note 14—Stockholders’ Equity and available cash. We recorded debt extinguishment losses of $3 million and $43 million in 2021 related to the redemption of the Senior Notes due 2023 and Senior Notes due 2024, respectively.</w:t>
      </w:r>
    </w:p>
    <w:p>
      <w:pPr>
        <w:spacing w:after="0" w:line="13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January 2021, we redeemed our outstanding 6.50% senior notes due 2022 (“Senior Notes due 2022”) that were originally issued in 2015. The redemption price for the notes was 100.0% of the principal amount, plus accrued and unpaid interest. We paid for the redemption with available cash, including the net proceeds from the issuance of our 6.25% senior notes due 2025 (“Senior Notes due 2025”) as described below. We recorded a debt extinguishment loss of $5 million in 2021 due to this redemption.</w:t>
      </w:r>
    </w:p>
    <w:p>
      <w:pPr>
        <w:spacing w:after="0" w:line="13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2020, we completed private placements of $1.15 billion aggregate principal amount of Senior Notes due 2025. Net proceeds from the notes were initially invested in cash and cash equivalents and were subsequently used in 2021 to redeem our outstanding Senior Notes due 2022 as described above.</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February 2019, we completed a private placement of $1.0 billion aggregate principal amount of our Senior Notes due 2024. We used the proceeds from the Senior Notes due 2024 to repay our outstanding obligation under the Unsecured Credit Facility described below and to finance a portion of our share repurchases described in Note 14—Stockholders’ Equity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2018, we entered into a $500 million Unsecured Credit Facility and borrowed $250 million. We borrowed an additional $250 million in January 2019. We used the proceeds of both borrowings to finance a portion of our share repurchases described in Note 14—Stockholders’ Equity to our Consolidated Financial Statements. In connection with the issuance of the Senior Notes due 2024 described above, we repaid our outstanding obligations under the Unsecured Credit Facility and terminated it in February 2019. We recorded a debt extinguishment loss of $5 million in 2019 in connection with this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771525</wp:posOffset>
            </wp:positionV>
            <wp:extent cx="3257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and Warrant Exchanges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(“JPE”),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The $22 million was reflected as a preferred stock conversion charge in 2020 in the accompanying consolidated financial statements. With respect to the warrants, through December 31, 2020, 0.3 million warrants were exchanged, and we issued 0.3 million shares of common stock.</w:t>
      </w:r>
    </w:p>
    <w:p>
      <w:pPr>
        <w:spacing w:after="0" w:line="11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2021, the remaining 1,015 preferred shares were exchanged, and we issued 0.1 million shares of common stock. With respect to the warrants, in 2021, 9.8 million warrants were exchanged, and we issued 9.2 million shares of common stock. These exchanges were intended to simplify our equity capital structure, including in contemplation of the spin-off of our Logistics segment. As of December 31, 2021, there were no shares of preferred stock or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which was completed in the first quarter of 2019. The share repurchases were funded by our Unsecured Credit Facility and available cash.</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2019, our Board of Directors authorized additional repurchases of up to $1.5 billion of our common stock.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this program have been funded by our available cash and proceeds from our 2019 debt offerings.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share repurchases in 2021. Our remaining share repurchase authorization as of December 31, 2021 is $503 million. Information regarding our shares repurchased, based on settlement date, in 2020 and 2019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Aggregate value</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Remaining authorization</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we were in compliance with the covenants and other provisions of our debt agreements. Any failure to comply with any material provision or covenant of these agreements could have a material adverse effect on our liquidity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537210</wp:posOffset>
            </wp:positionV>
            <wp:extent cx="3257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LIBOR</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Uncertainty related to the London Interbank Offered Rate (“LIBOR”) phase-out by June 2023 for USD LIBOR with greater than two-month maturities may adversely impact the value of, and our obligations under, our ABL and term loan facilities. See the applicable discussion under Item 1A, “Risk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cash flows from operating, investing and financing activities from continuing operations, as reflected on our Consolidated Statements of Cash Flows, are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bl>
    <w:p>
      <w:pPr>
        <w:spacing w:after="0" w:line="24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During 2021, we: (i) generated cash from operating activities from continuing operations of $656 million; (ii) generated proceeds from sales of property and equipment of $132 million; (iii) received a distribution from GXO of $794 million and (iv) generated proceeds of $384 million from the issuance of common stock. We used cash during this period primarily to: (i) purchase property and equipment of $313 million; (ii) redeem our senior notes due 2022, 2023 and 2024 for $2.8 billion; (iii) repay our ABL Facility borrowings of $200 million and (iv) make payments on debt and finance leases of $80 million.</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2020, we: (i) generated cash from operating activities from continuing operations of $388 million; (ii) generated proceeds from sales of property and equipment (primarily real estate) of $183 million and (iii) received net proceeds of $1.4 billion from our issuances of debt and short-term borrowings. We used cash during this period primarily to: (i) purchase property and equipment of $303 million; (ii) repurchase common stock of $114 million and (iii) make payments on debt and finance leases of $65 million.</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Cash flows from operating activities from continuing operations for 2021 increased by $268 million compared with 2020. The increase reflects higher income from continuing operations of $336 million for 2021 compared with the same period in 2020, partially offset by greater use of cash for working capital in 2021 than in the prior-year period. Additionally, cash paid for taxes was $44 million higher in 2021 compared to 2020.</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flows from operating activities from continuing operations for 2020 decreased by $241 million compared with 2019. The decrease reflects lower income from continuing operations, partially offset by the impact of operating assets and liabilities utilizing $84 million less cash in 2020. Within operating assets and liabilities, accrued expenses and other liabilities was a source of cash for 2020 as compared to a use of cash in 2019. This fluctuation primarily reflects the deferral of certain tax payments and an increase in compensation and purchased transportation accruals in 2020. Partially offsetting the impact of accrued expenses and other liabilities was the higher use of cash due to increased accounts receivable as a result of higher revenues in the fourth quarter of 2020 compared to 2019.</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2021, we had $1.1 billion of operating lease and related interest payment obligations, of which $206 million is due within the next twelve months. Additionally, we had operating leases that have not yet commenced with future undiscounted lease payments of $11 million. These operating leases will commence in 2022 with initial lease terms of 3 years to 7 years. For further information on our operating leases and their maturities, see Note 8—Leases to our Consolidated Financial Statements.</w:t>
      </w:r>
    </w:p>
    <w:p>
      <w:pPr>
        <w:spacing w:after="0" w:line="13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Investing activities from continuing operations used $184 million of cash in 2021 compared with $116 million used in 2020 and $67 million used in 2019. During 2021, we used $313 million of cash to purchase property and equipment and received $132 million from sales of property and equipment. During 2020, we used $303 million of cash to purchase property and equipment and received $183 million of cash from sales of property and equipment. During 2019, we used $379 million of cash to purchase property and equipment, received $237 million of cash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537845</wp:posOffset>
            </wp:positionV>
            <wp:extent cx="3257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sales of property and equipment and received proceeds of $75 million related to the realization of cash on deferred purchase price receivable. We anticipate net capital expenditures to be between $425 million and $475 million in 2022, funded by cash on hand and available liquidity.</w:t>
      </w:r>
    </w:p>
    <w:p>
      <w:pPr>
        <w:spacing w:after="0" w:line="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Financing activities from continuing operations used $1.9 billion of cash in 2021 compared with $1.2 billion of cash generated in 2020 and $201 million used in 2019. The primary uses of cash from financing activities from continuing operations during 2021 were $2.8 billion used to redeem the senior notes due 2022, 2023 and 2024 and $200 million used to repay borrowings under our ABL Facility. The primary sources of cash from financing activities from continuing operations during 2021 were $794 million of proceeds from a distribution from GXO and $384 million of net proceeds from our common offering. In July 2021, GXO completed a debt offering and used the net proceeds to fund a cash payment from GXO to XPO. The primary sources of cash from financing activities from continuing operations in 2020 were $1.1 billion of net proceeds from the issuance of Senior Notes due 2025; $200 million of proceeds from borrowings on our ABL Facility, net of payments, and $23 million from net borrowings related to our securitization program. The primary uses of cash from financing activities from continuing operations in 2020 were $114 million used to repurchase XPO common stock and $65 million used to repay debt and finance leases. The primary uses of cash from financing activities from continuing operations in 2019 were $1.3 billion to repurchase XPO common stock and $569 million used to repay debt and finance leases. The primary source of cash from financing activities from continuing operations in 2019 was $1.7 billion of net proceeds from the issuance of long-term debt.</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2021, we had $3.5 billion total outstanding principal amount of debt, excluding finance leases. We have no significant debt maturities until 2025. Interest on our ABL and Term Loan facilities are variable, while interest on our senior notes are at fixed rates. Future interest payments associated with our debt total $623 million at December 31, 2021, with $130 million payable within 12 months, and are estimated based on the principal amount of debt and applicable interest rates as of December 31, 2021. Additionally, as of December 31, 2021, we have $255 million of finance lease and related interest payment obligations, of which $61 million is due within the next twelve months. For further information on our debt facilities and maturities, see Note 12—Debt to our Consolidated Financial Statements. For further information on our finance lease maturities, see Note 8—Leases to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sponsor both funded and unfunded defined benefit plans for some employees in the U.S. Historically, we have realized income, rather than expense, from these plans. We generated aggregate income from our plans of $61 million in 2021, $48 million in 2020 and $24 million in 2019. The plans have been generating income due to their funded status and because they do not allow for new plan participants or additional benefit accruals.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used in determining the net periodic benefit costs and benefit obligations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Qualified Plans</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Non-Qualified Plans</w:t>
            </w:r>
          </w:p>
        </w:tc>
      </w:tr>
      <w:tr>
        <w:trPr>
          <w:trHeight w:val="187"/>
        </w:trPr>
        <w:tc>
          <w:tcPr>
            <w:tcW w:w="4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11"/>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 - net periodic benefit costs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- 1.71%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 - 2.78%</w:t>
            </w:r>
          </w:p>
        </w:tc>
      </w:tr>
      <w:tr>
        <w:trPr>
          <w:trHeight w:val="21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Discount rate - benefit obligations</w:t>
            </w:r>
          </w:p>
        </w:tc>
        <w:tc>
          <w:tcPr>
            <w:tcW w:w="1520" w:type="dxa"/>
            <w:vAlign w:val="bottom"/>
          </w:tcPr>
          <w:p>
            <w:pPr>
              <w:jc w:val="right"/>
              <w:spacing w:after="0"/>
              <w:rPr>
                <w:sz w:val="20"/>
                <w:szCs w:val="20"/>
                <w:color w:val="auto"/>
              </w:rPr>
            </w:pPr>
            <w:r>
              <w:rPr>
                <w:rFonts w:ascii="Arial" w:cs="Arial" w:eastAsia="Arial" w:hAnsi="Arial"/>
                <w:sz w:val="16"/>
                <w:szCs w:val="16"/>
                <w:color w:val="auto"/>
              </w:rPr>
              <w:t>2.84 %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2.48 %</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 - 2.72%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 - 2.30%</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 increase or decrease of 25 basis points in the discount rate would decrease or increase our 2021 pre-tax pension income by approximately $3 million.</w:t>
      </w:r>
    </w:p>
    <w:p>
      <w:pPr>
        <w:spacing w:after="0" w:line="1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of Return on Plan Assets</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using a long-term liability-driven investment strategy that seeks to mitigate the funded status volatility by increasing participation in fixed-income investments generally as funded status increases. This strategy was developed by analyzing a variety of diversified asset-class combinations in conjunction with the projected liabilities of the plans.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year ended December 31, 2021, our expected return on plan assets was $101 million, compared to the actual return on plan assets of $25 million. The actual annualized return on plan assets for 2021 was approximately 1%, which was below the expected return on asset assumption for the year due to negative performance in a long duration fixed income market environment, which represented 86% of the portfolio, partially offset by positive performance from the domestic and international equity markets. An increase or decrease of 25 basis points in the expected return on plan assets would increase or decrease our 2021 pre-tax pension income by approximately $5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Actuarial Gains and Losses</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Changes in the discount rate and/or differences between the expected and actual rate of return on plan assets results in unrecognized actuarial gains or losses. For our defined benefit pension plans, accumulated unrecognized actuarial losses were $43 million as of December 31, 2021. The portion of the unrecognized actuarial gain/loss that exceeds 10% of the greater of the projected benefit obligation or the fair value of plan assets at the beginning of the year is amortized and recognized as income/expense over the estimated average remaining life expectancy of plan participants.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Results</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effects of the defined benefit pension plans on our results consist primarily of the net effect of the interest cost on plan obligations and the expected return on plan assets. We estimate that the defined benefit pension plans will contribute annual pre-tax income in 2022 of $60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determining the amount and timing of pension contributions, we consider our cash position, the funded status as measured by the Pension Protection Act of 2006 and generally accepted accounting principles, and the tax deductibility of contributions, among other factors. We contributed $6 million in 2021 and 2020 to the non-qualified plans, respectively, and we estimate that we will contribute $5 million in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13—Employee Benefit Plans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572135</wp:posOffset>
            </wp:positionV>
            <wp:extent cx="3257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prepare our consolidated financial statements in accordance with U.S. generally accepted accounting principles. A summary of our significant accounting policies is contained in Note 2—Basis of Presentation and Significant Accounting Policies to our Consolidated Financial Statements.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1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3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our 2021 goodwill assessment, we performed a step-zero qualitative analysis for our three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3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For our 2020 goodwill assessment, we performed a quantitative analysis for the five reporting units that existed at the time of the assessment using a combination of income and market approaches with the assistance of a third-party valuation appraiser. As of August 31, 2020, we completed our annual impairment test for goodwill with all of our reporting units having fair values in excess of their carrying values, resulting in no impairment of goodwill. Our number of reporting units decreased from five in 2020 to three in 2021 as a result of the spin-off and other organizational changes.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 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We believe the actuarial methods are appropriate for measuring these self-insurance accruals. However, based on the number of claims and the length of time from incurrence of the claims to ultimate settlement, the use of any estimation method is sensitive to the assumptions and factors described above. Accordingly, changes in these assumptions and factors can affect the estimated liability and those amounts may be different than the actual costs paid to settle the claims.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Evaluating our tax positions would include but not be limited to our tax positions on internal restructuring transactions as well as the spin-off of GXO. We review our tax positions quarterly and as new information becomes available. Our effective tax rate in any financial statement period may be materially impacted by changes in the mix and/or level of earnings by taxing jurisdiction.</w:t>
      </w:r>
    </w:p>
    <w:p>
      <w:pPr>
        <w:spacing w:after="0" w:line="1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our operations. Valuation allowances are established when, in management’s judgment, it is more likely than not that our deferred tax assets will not be realized. In assessing the need for a valuation allowance, management weighs the available positive and negative evidence, including limitations on the use of tax losses and other carryforwards due to changes in ownership, historic information, and projections of future sources of taxable income that include and exclude future reversals of taxable temporary differences.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Our market risk disclosures involve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changes in interest rates on our debt, as follows: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Term Loan Facilities</w:t>
      </w:r>
      <w:r>
        <w:rPr>
          <w:rFonts w:ascii="Arial" w:cs="Arial" w:eastAsia="Arial" w:hAnsi="Arial"/>
          <w:sz w:val="18"/>
          <w:szCs w:val="18"/>
          <w:color w:val="auto"/>
        </w:rPr>
        <w:t>. As of December 31, 2021, we had an aggregate principal amount outstanding of $2.0 billion on our Term Loan Facilities.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fluctuates based on LIBOR or a Base Rate, as defined in the agreement, plus an applicable margin. Assuming an average annual aggregate principal amount outstanding of $2.0 billion, a hypothetical 1% increase in the interest rate would have increased our annual interest expense by $20 million. Additionally, we utilize short-term interest rate swaps to mitigate variability in forecasted interest payments on our Term Loan Facilities. The interest rate swaps convert floating-rate interest payments into fixed rate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548640</wp:posOffset>
            </wp:positionV>
            <wp:extent cx="3257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ABL Facility</w:t>
      </w:r>
      <w:r>
        <w:rPr>
          <w:rFonts w:ascii="Arial" w:cs="Arial" w:eastAsia="Arial" w:hAnsi="Arial"/>
          <w:sz w:val="18"/>
          <w:szCs w:val="18"/>
          <w:color w:val="auto"/>
        </w:rPr>
        <w:t>. The interest rates on our ABL Facility fluctuate based on LIBOR or a Base Rate, as defined in the agreement, plus an applicable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our $1.0 billion ABL Facility was fully drawn throughout 2021, a hypothetical 1% change in the interest rate would have increased our annual interest expense by $13 million.</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Fixed Rate Debt. </w:t>
      </w:r>
      <w:r>
        <w:rPr>
          <w:rFonts w:ascii="Arial" w:cs="Arial" w:eastAsia="Arial" w:hAnsi="Arial"/>
          <w:sz w:val="18"/>
          <w:szCs w:val="18"/>
          <w:color w:val="auto"/>
        </w:rPr>
        <w:t>As of December 31, 2021, we had $1.6 billion of fair value of indebtedness (excluding finance leases) that bears interest at fixed rates. A</w:t>
      </w:r>
      <w:r>
        <w:rPr>
          <w:rFonts w:ascii="Arial" w:cs="Arial" w:eastAsia="Arial" w:hAnsi="Arial"/>
          <w:sz w:val="18"/>
          <w:szCs w:val="18"/>
          <w:i w:val="1"/>
          <w:iCs w:val="1"/>
          <w:color w:val="auto"/>
        </w:rPr>
        <w:t xml:space="preserve"> </w:t>
      </w:r>
      <w:r>
        <w:rPr>
          <w:rFonts w:ascii="Arial" w:cs="Arial" w:eastAsia="Arial" w:hAnsi="Arial"/>
          <w:sz w:val="18"/>
          <w:szCs w:val="18"/>
          <w:color w:val="auto"/>
        </w:rPr>
        <w:t>1% decrease in market interest rates as of December 31, 2021 would increase the fair value of our fixed-rate indebtedness by approximately 4%. For additional information concerning our debt, see Note 12—Debt to our Consolidated Financial Statements.</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also have exposure to changes in interest rates as a result of our cash balances, which totaled $260 million as of December 31, 2021 and generally earn interest income that approximates LIBOR. Assuming an annual average cash balance of $260 million, a hypothetical 1% increase in the interest rate would reduce our net interest expense by $3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periodically use foreign currency option contracts to mitigate the risk of a reduction in the value of earnings from our operations that use the EUR or GBP as their functional currency.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2021, a uniform 10% strengthening in the value of the USD relative to the EUR would have resulted in a decrease in net assets of $32 million. As of December 31, 2021, a uniform 10% strengthening in the value of the USD relative to the GBP would have resulted in a decrease in net assets of $24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exposed to price fluctuations for diesel fuel purchased for use in our vehicles. During the year ended December 31, 2021, diesel prices fluctuated by as much as 20% in France, 30% in the United Kingdom, and 41% in the United States. However, we include price adjustment clauses or cost-recovery mechanisms in many of our customer contracts in the event of a change in the cost to purchase fuel. The clauses mean that substantially all fluctuations in the purchase price of diesel, except for short-term economic fluctuations, can be passed on to customers in the sales price. Therefore, a hypothetical 10% change in the price of diesel would not be expected to materially affect our financial performance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531495</wp:posOffset>
            </wp:positionV>
            <wp:extent cx="32575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Page No.</w:t>
            </w:r>
          </w:p>
        </w:tc>
      </w:tr>
      <w:tr>
        <w:trPr>
          <w:trHeight w:val="162"/>
        </w:trPr>
        <w:tc>
          <w:tcPr>
            <w:tcW w:w="4180" w:type="dxa"/>
            <w:vAlign w:val="bottom"/>
            <w:gridSpan w:val="3"/>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Report of Independent Registered Public Accounting Firm</w:t>
              </w:r>
            </w:hyperlink>
          </w:p>
        </w:tc>
        <w:tc>
          <w:tcPr>
            <w:tcW w:w="6040" w:type="dxa"/>
            <w:vAlign w:val="bottom"/>
            <w:gridSpan w:val="5"/>
          </w:tcPr>
          <w:p>
            <w:pPr>
              <w:spacing w:after="0"/>
              <w:rPr>
                <w:sz w:val="14"/>
                <w:szCs w:val="14"/>
                <w:color w:val="auto"/>
              </w:rPr>
            </w:pPr>
          </w:p>
        </w:tc>
        <w:tc>
          <w:tcPr>
            <w:tcW w:w="580" w:type="dxa"/>
            <w:vAlign w:val="bottom"/>
            <w:gridSpan w:val="2"/>
          </w:tcPr>
          <w:p>
            <w:pPr>
              <w:jc w:val="center"/>
              <w:ind w:left="340"/>
              <w:spacing w:after="0" w:line="142" w:lineRule="exact"/>
              <w:rPr>
                <w:rFonts w:ascii="Arial" w:cs="Arial" w:eastAsia="Arial" w:hAnsi="Arial"/>
                <w:sz w:val="16"/>
                <w:szCs w:val="16"/>
                <w:color w:val="0000FF"/>
                <w:w w:val="89"/>
              </w:rPr>
            </w:pPr>
            <w:hyperlink w:anchor="page50">
              <w:r>
                <w:rPr>
                  <w:rFonts w:ascii="Arial" w:cs="Arial" w:eastAsia="Arial" w:hAnsi="Arial"/>
                  <w:sz w:val="16"/>
                  <w:szCs w:val="16"/>
                  <w:color w:val="0000FF"/>
                  <w:w w:val="89"/>
                </w:rPr>
                <w:t>51</w:t>
              </w:r>
            </w:hyperlink>
          </w:p>
        </w:tc>
        <w:tc>
          <w:tcPr>
            <w:tcW w:w="420" w:type="dxa"/>
            <w:vAlign w:val="bottom"/>
          </w:tcPr>
          <w:p>
            <w:pPr>
              <w:spacing w:after="0"/>
              <w:rPr>
                <w:sz w:val="14"/>
                <w:szCs w:val="14"/>
                <w:color w:val="auto"/>
              </w:rPr>
            </w:pPr>
          </w:p>
        </w:tc>
      </w:tr>
      <w:tr>
        <w:trPr>
          <w:trHeight w:val="27"/>
        </w:trPr>
        <w:tc>
          <w:tcPr>
            <w:tcW w:w="2840" w:type="dxa"/>
            <w:vAlign w:val="bottom"/>
            <w:shd w:val="clear" w:color="auto" w:fill="0000FF"/>
          </w:tcPr>
          <w:p>
            <w:pPr>
              <w:spacing w:after="0"/>
              <w:rPr>
                <w:sz w:val="2"/>
                <w:szCs w:val="2"/>
                <w:color w:val="auto"/>
              </w:rPr>
            </w:pPr>
          </w:p>
        </w:tc>
        <w:tc>
          <w:tcPr>
            <w:tcW w:w="1340" w:type="dxa"/>
            <w:vAlign w:val="bottom"/>
            <w:gridSpan w:val="2"/>
            <w:shd w:val="clear" w:color="auto" w:fill="0000FF"/>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364"/>
        </w:trPr>
        <w:tc>
          <w:tcPr>
            <w:tcW w:w="10220" w:type="dxa"/>
            <w:vAlign w:val="bottom"/>
            <w:gridSpan w:val="8"/>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 xml:space="preserve">Consolidated Balance Sheets as of December 31, </w:t>
              </w:r>
            </w:hyperlink>
            <w:r>
              <w:rPr>
                <w:rFonts w:ascii="Arial" w:cs="Arial" w:eastAsia="Arial" w:hAnsi="Arial"/>
                <w:sz w:val="16"/>
                <w:szCs w:val="16"/>
                <w:color w:val="0000FF"/>
              </w:rPr>
              <w:t xml:space="preserve">2021 </w:t>
            </w:r>
            <w:hyperlink w:anchor="page53">
              <w:r>
                <w:rPr>
                  <w:rFonts w:ascii="Arial" w:cs="Arial" w:eastAsia="Arial" w:hAnsi="Arial"/>
                  <w:sz w:val="16"/>
                  <w:szCs w:val="16"/>
                  <w:color w:val="0000FF"/>
                </w:rPr>
                <w:t xml:space="preserve">and </w:t>
              </w:r>
            </w:hyperlink>
            <w:r>
              <w:rPr>
                <w:rFonts w:ascii="Arial" w:cs="Arial" w:eastAsia="Arial" w:hAnsi="Arial"/>
                <w:sz w:val="16"/>
                <w:szCs w:val="16"/>
                <w:color w:val="0000FF"/>
              </w:rPr>
              <w:t>2020</w:t>
            </w:r>
          </w:p>
        </w:tc>
        <w:tc>
          <w:tcPr>
            <w:tcW w:w="580" w:type="dxa"/>
            <w:vAlign w:val="bottom"/>
            <w:gridSpan w:val="2"/>
          </w:tcPr>
          <w:p>
            <w:pPr>
              <w:jc w:val="center"/>
              <w:ind w:left="340"/>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54</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000" w:type="dxa"/>
            <w:vAlign w:val="bottom"/>
            <w:gridSpan w:val="4"/>
          </w:tcPr>
          <w:p>
            <w:pPr>
              <w:spacing w:after="0"/>
              <w:rPr>
                <w:rFonts w:ascii="Arial" w:cs="Arial" w:eastAsia="Arial" w:hAnsi="Arial"/>
                <w:sz w:val="16"/>
                <w:szCs w:val="16"/>
                <w:color w:val="0000FF"/>
                <w:w w:val="90"/>
              </w:rPr>
            </w:pPr>
            <w:hyperlink w:anchor="page54">
              <w:r>
                <w:rPr>
                  <w:rFonts w:ascii="Arial" w:cs="Arial" w:eastAsia="Arial" w:hAnsi="Arial"/>
                  <w:sz w:val="16"/>
                  <w:szCs w:val="16"/>
                  <w:color w:val="0000FF"/>
                  <w:w w:val="90"/>
                </w:rPr>
                <w:t xml:space="preserve">Consolidated Statements of Income for the Years Ended December 31, </w:t>
              </w:r>
            </w:hyperlink>
            <w:r>
              <w:rPr>
                <w:rFonts w:ascii="Arial" w:cs="Arial" w:eastAsia="Arial" w:hAnsi="Arial"/>
                <w:sz w:val="16"/>
                <w:szCs w:val="16"/>
                <w:color w:val="0000FF"/>
                <w:w w:val="90"/>
              </w:rPr>
              <w:t xml:space="preserve">2021, 2020 </w:t>
            </w:r>
            <w:hyperlink w:anchor="page54">
              <w:r>
                <w:rPr>
                  <w:rFonts w:ascii="Arial" w:cs="Arial" w:eastAsia="Arial" w:hAnsi="Arial"/>
                  <w:sz w:val="16"/>
                  <w:szCs w:val="16"/>
                  <w:color w:val="0000FF"/>
                  <w:w w:val="90"/>
                </w:rPr>
                <w:t>and 2019</w:t>
              </w:r>
            </w:hyperlink>
          </w:p>
        </w:tc>
        <w:tc>
          <w:tcPr>
            <w:tcW w:w="4220" w:type="dxa"/>
            <w:vAlign w:val="bottom"/>
            <w:gridSpan w:val="4"/>
          </w:tcPr>
          <w:p>
            <w:pPr>
              <w:spacing w:after="0"/>
              <w:rPr>
                <w:sz w:val="24"/>
                <w:szCs w:val="24"/>
                <w:color w:val="auto"/>
              </w:rPr>
            </w:pPr>
          </w:p>
        </w:tc>
        <w:tc>
          <w:tcPr>
            <w:tcW w:w="580" w:type="dxa"/>
            <w:vAlign w:val="bottom"/>
            <w:gridSpan w:val="2"/>
          </w:tcPr>
          <w:p>
            <w:pPr>
              <w:jc w:val="center"/>
              <w:ind w:left="340"/>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55</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7060" w:type="dxa"/>
            <w:vAlign w:val="bottom"/>
            <w:gridSpan w:val="7"/>
          </w:tcPr>
          <w:p>
            <w:pPr>
              <w:spacing w:after="0"/>
              <w:rPr>
                <w:rFonts w:ascii="Arial" w:cs="Arial" w:eastAsia="Arial" w:hAnsi="Arial"/>
                <w:sz w:val="16"/>
                <w:szCs w:val="16"/>
                <w:color w:val="0000FF"/>
                <w:w w:val="90"/>
              </w:rPr>
            </w:pPr>
            <w:hyperlink w:anchor="page55">
              <w:r>
                <w:rPr>
                  <w:rFonts w:ascii="Arial" w:cs="Arial" w:eastAsia="Arial" w:hAnsi="Arial"/>
                  <w:sz w:val="16"/>
                  <w:szCs w:val="16"/>
                  <w:color w:val="0000FF"/>
                  <w:w w:val="90"/>
                </w:rPr>
                <w:t xml:space="preserve">Consolidated Statements of Comprehensive Income for the Years Ended December 31, </w:t>
              </w:r>
            </w:hyperlink>
            <w:r>
              <w:rPr>
                <w:rFonts w:ascii="Arial" w:cs="Arial" w:eastAsia="Arial" w:hAnsi="Arial"/>
                <w:sz w:val="16"/>
                <w:szCs w:val="16"/>
                <w:color w:val="0000FF"/>
                <w:w w:val="90"/>
              </w:rPr>
              <w:t xml:space="preserve">2021, 2020 </w:t>
            </w:r>
            <w:hyperlink w:anchor="page55">
              <w:r>
                <w:rPr>
                  <w:rFonts w:ascii="Arial" w:cs="Arial" w:eastAsia="Arial" w:hAnsi="Arial"/>
                  <w:sz w:val="16"/>
                  <w:szCs w:val="16"/>
                  <w:color w:val="0000FF"/>
                  <w:w w:val="90"/>
                </w:rPr>
                <w:t xml:space="preserve">and </w:t>
              </w:r>
            </w:hyperlink>
            <w:r>
              <w:rPr>
                <w:rFonts w:ascii="Arial" w:cs="Arial" w:eastAsia="Arial" w:hAnsi="Arial"/>
                <w:sz w:val="16"/>
                <w:szCs w:val="16"/>
                <w:color w:val="0000FF"/>
                <w:w w:val="90"/>
              </w:rPr>
              <w:t>2019</w:t>
            </w: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56</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280" w:type="dxa"/>
            <w:vAlign w:val="bottom"/>
            <w:gridSpan w:val="5"/>
          </w:tcPr>
          <w:p>
            <w:pPr>
              <w:spacing w:after="0"/>
              <w:rPr>
                <w:rFonts w:ascii="Arial" w:cs="Arial" w:eastAsia="Arial" w:hAnsi="Arial"/>
                <w:sz w:val="16"/>
                <w:szCs w:val="16"/>
                <w:color w:val="0000FF"/>
                <w:w w:val="90"/>
              </w:rPr>
            </w:pPr>
            <w:hyperlink w:anchor="page56">
              <w:r>
                <w:rPr>
                  <w:rFonts w:ascii="Arial" w:cs="Arial" w:eastAsia="Arial" w:hAnsi="Arial"/>
                  <w:sz w:val="16"/>
                  <w:szCs w:val="16"/>
                  <w:color w:val="0000FF"/>
                  <w:w w:val="90"/>
                </w:rPr>
                <w:t xml:space="preserve">Consolidated Statements of Cash Flows for the Years Ended December 31, </w:t>
              </w:r>
            </w:hyperlink>
            <w:r>
              <w:rPr>
                <w:rFonts w:ascii="Arial" w:cs="Arial" w:eastAsia="Arial" w:hAnsi="Arial"/>
                <w:sz w:val="16"/>
                <w:szCs w:val="16"/>
                <w:color w:val="0000FF"/>
                <w:w w:val="90"/>
              </w:rPr>
              <w:t xml:space="preserve">2021, 2020 </w:t>
            </w:r>
            <w:hyperlink w:anchor="page56">
              <w:r>
                <w:rPr>
                  <w:rFonts w:ascii="Arial" w:cs="Arial" w:eastAsia="Arial" w:hAnsi="Arial"/>
                  <w:sz w:val="16"/>
                  <w:szCs w:val="16"/>
                  <w:color w:val="0000FF"/>
                  <w:w w:val="90"/>
                </w:rPr>
                <w:t xml:space="preserve">and </w:t>
              </w:r>
            </w:hyperlink>
            <w:r>
              <w:rPr>
                <w:rFonts w:ascii="Arial" w:cs="Arial" w:eastAsia="Arial" w:hAnsi="Arial"/>
                <w:sz w:val="16"/>
                <w:szCs w:val="16"/>
                <w:color w:val="0000FF"/>
                <w:w w:val="90"/>
              </w:rPr>
              <w:t>2019</w:t>
            </w:r>
          </w:p>
        </w:tc>
        <w:tc>
          <w:tcPr>
            <w:tcW w:w="780" w:type="dxa"/>
            <w:vAlign w:val="bottom"/>
            <w:gridSpan w:val="2"/>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57</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10220" w:type="dxa"/>
            <w:vAlign w:val="bottom"/>
            <w:gridSpan w:val="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 xml:space="preserve">Consolidated Statements of Changes in Equity for the Years Ended December 31, </w:t>
              </w:r>
            </w:hyperlink>
            <w:r>
              <w:rPr>
                <w:rFonts w:ascii="Arial" w:cs="Arial" w:eastAsia="Arial" w:hAnsi="Arial"/>
                <w:sz w:val="16"/>
                <w:szCs w:val="16"/>
                <w:color w:val="0000FF"/>
              </w:rPr>
              <w:t xml:space="preserve">2021, 2020 </w:t>
            </w:r>
            <w:hyperlink w:anchor="page58">
              <w:r>
                <w:rPr>
                  <w:rFonts w:ascii="Arial" w:cs="Arial" w:eastAsia="Arial" w:hAnsi="Arial"/>
                  <w:sz w:val="16"/>
                  <w:szCs w:val="16"/>
                  <w:color w:val="0000FF"/>
                </w:rPr>
                <w:t xml:space="preserve">and </w:t>
              </w:r>
            </w:hyperlink>
            <w:r>
              <w:rPr>
                <w:rFonts w:ascii="Arial" w:cs="Arial" w:eastAsia="Arial" w:hAnsi="Arial"/>
                <w:sz w:val="16"/>
                <w:szCs w:val="16"/>
                <w:color w:val="0000FF"/>
              </w:rPr>
              <w:t>2019</w:t>
            </w:r>
          </w:p>
        </w:tc>
        <w:tc>
          <w:tcPr>
            <w:tcW w:w="580" w:type="dxa"/>
            <w:vAlign w:val="bottom"/>
            <w:gridSpan w:val="2"/>
          </w:tcPr>
          <w:p>
            <w:pPr>
              <w:jc w:val="center"/>
              <w:ind w:left="340"/>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59</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6700" w:type="dxa"/>
            <w:vAlign w:val="bottom"/>
            <w:gridSpan w:val="6"/>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Notes to Consolidated Financial Statements</w:t>
              </w:r>
            </w:hyperlink>
          </w:p>
        </w:tc>
        <w:tc>
          <w:tcPr>
            <w:tcW w:w="3520" w:type="dxa"/>
            <w:vAlign w:val="bottom"/>
            <w:gridSpan w:val="2"/>
          </w:tcPr>
          <w:p>
            <w:pPr>
              <w:spacing w:after="0"/>
              <w:rPr>
                <w:sz w:val="24"/>
                <w:szCs w:val="24"/>
                <w:color w:val="auto"/>
              </w:rPr>
            </w:pPr>
          </w:p>
        </w:tc>
        <w:tc>
          <w:tcPr>
            <w:tcW w:w="580" w:type="dxa"/>
            <w:vAlign w:val="bottom"/>
            <w:gridSpan w:val="2"/>
          </w:tcPr>
          <w:p>
            <w:pPr>
              <w:jc w:val="center"/>
              <w:ind w:left="340"/>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61</w:t>
              </w:r>
            </w:hyperlink>
          </w:p>
        </w:tc>
        <w:tc>
          <w:tcPr>
            <w:tcW w:w="420" w:type="dxa"/>
            <w:vAlign w:val="bottom"/>
          </w:tcPr>
          <w:p>
            <w:pPr>
              <w:spacing w:after="0"/>
              <w:rPr>
                <w:sz w:val="24"/>
                <w:szCs w:val="24"/>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857250</wp:posOffset>
            </wp:positionV>
            <wp:extent cx="3257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XPO Logistics, Inc. and subsidiaries (the Company) as of December 31, 2021 and 2020, the related consolidated statements of income, comprehensive income, cash flows, and changes in equity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497205</wp:posOffset>
            </wp:positionV>
            <wp:extent cx="3257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policies or procedures may deteriorate</w:t>
      </w:r>
      <w:r>
        <w:rPr>
          <w:rFonts w:ascii="Arial" w:cs="Arial" w:eastAsia="Arial" w:hAnsi="Arial"/>
          <w:sz w:val="21"/>
          <w:szCs w:val="2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tax-free determination of the spin-off of the Company’s Logistics segment</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discussed in Note 1 to the consolidated financial statements, on August 2, 2021, the Company completed the previously announced spin-off of its Logistics segment into an independent public company. The spin-off was accomplished by the distribution of 100% of the outstanding common stock of GXO Logistics, Inc. to the Company’s stockholders and was intended to qualify as tax-free to the Company and its stockholders for U.S. federal income tax purposes.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identified the evaluation of the spin-off as a tax-free transaction for U.S. federal income tax purposes to be a critical audit matter. The evaluation of the Company’s interpretation and application of the Internal Revenue Code (Code) required complex auditor judgment and the need to involve tax professionals with specialized skills and knowledge to evaluate the U.S. federal taxability of the spin-off.</w:t>
      </w:r>
    </w:p>
    <w:p>
      <w:pPr>
        <w:spacing w:after="0" w:line="13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income tax process, including a control related to Company’s evaluation of the spin-off as tax-free for U.S. federal income tax purposes. We involved tax professionals with specialized skills and knowledge, who assisted in:</w:t>
      </w:r>
    </w:p>
    <w:p>
      <w:pPr>
        <w:spacing w:after="0" w:line="111" w:lineRule="exact"/>
        <w:rPr>
          <w:sz w:val="20"/>
          <w:szCs w:val="20"/>
          <w:color w:val="auto"/>
        </w:rPr>
      </w:pPr>
    </w:p>
    <w:p>
      <w:pPr>
        <w:ind w:left="660" w:right="5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inspecting the tax opinions from the Company’s external tax advisors that management utilized in forming their conclusions on U.S. federal income taxability of the spin-off, including certain interpretations of the Code</w:t>
      </w:r>
    </w:p>
    <w:p>
      <w:pPr>
        <w:spacing w:after="0" w:line="116"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assessing the key facts, assumptions and representations provided by management and used by the Company’s external tax advisors when evaluating the U.S. federal income taxability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for self-insured claims</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discussed in Note 2 to the consolidated financial statements, the Company uses a combination of self-insurance programs and purchased insurance to provide for the costs of liability,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2021.</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494030</wp:posOffset>
            </wp:positionV>
            <wp:extent cx="3257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historical cost experience, severity factors, and judgments about current and expected levels of cost per claims and retention levels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assess these estimates.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3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comparing the Company’s actuarial reserving methodologies with accepted actuarial methods and procedures</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assumptions used in determining the liability, including expected level of cost per claim and retention levels, in relation to recent historical loss payment trends and severity factors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 independent expected range of liabilities, including liabilities for claims that have been incurred but have not been recorded, based on actuarial methodologies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comparing the Company’s recorded liability to the independently developed liability range.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528955</wp:posOffset>
            </wp:positionV>
            <wp:extent cx="32575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8540" w:type="dxa"/>
            <w:vAlign w:val="bottom"/>
            <w:tcBorders>
              <w:top w:val="single" w:sz="8" w:color="auto"/>
            </w:tcBorders>
            <w:shd w:val="clear" w:color="auto" w:fill="CCEEFF"/>
          </w:tcPr>
          <w:p>
            <w:pPr>
              <w:ind w:left="39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Accounts receivable, net of allowances of $47 and $46, respectively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Current assets of discontinued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13"/>
        </w:trPr>
        <w:tc>
          <w:tcPr>
            <w:tcW w:w="8900" w:type="dxa"/>
            <w:vAlign w:val="bottom"/>
            <w:gridSpan w:val="2"/>
            <w:shd w:val="clear" w:color="auto" w:fill="CCEEFF"/>
          </w:tcPr>
          <w:p>
            <w:pPr>
              <w:ind w:left="6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193"/>
        </w:trPr>
        <w:tc>
          <w:tcPr>
            <w:tcW w:w="8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Property and equipment, net of $1,828 and $1,646 in accumulated depreciation, respectively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Identifiable intangible assets, net of $612 and $536 in accumulated amortization, respectively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long-term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Long-term assets of discontinued operations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4,666</w:t>
            </w:r>
          </w:p>
        </w:tc>
        <w:tc>
          <w:tcPr>
            <w:tcW w:w="0" w:type="dxa"/>
            <w:vAlign w:val="bottom"/>
          </w:tcPr>
          <w:p>
            <w:pPr>
              <w:spacing w:after="0"/>
              <w:rPr>
                <w:sz w:val="1"/>
                <w:szCs w:val="1"/>
                <w:color w:val="auto"/>
              </w:rPr>
            </w:pPr>
          </w:p>
        </w:tc>
      </w:tr>
      <w:tr>
        <w:trPr>
          <w:trHeight w:val="213"/>
        </w:trPr>
        <w:tc>
          <w:tcPr>
            <w:tcW w:w="890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10,799</w:t>
            </w:r>
          </w:p>
        </w:tc>
        <w:tc>
          <w:tcPr>
            <w:tcW w:w="0" w:type="dxa"/>
            <w:vAlign w:val="bottom"/>
          </w:tcPr>
          <w:p>
            <w:pPr>
              <w:spacing w:after="0"/>
              <w:rPr>
                <w:sz w:val="1"/>
                <w:szCs w:val="1"/>
                <w:color w:val="auto"/>
              </w:rPr>
            </w:pPr>
          </w:p>
        </w:tc>
      </w:tr>
      <w:tr>
        <w:trPr>
          <w:trHeight w:val="206"/>
        </w:trPr>
        <w:tc>
          <w:tcPr>
            <w:tcW w:w="8900" w:type="dxa"/>
            <w:vAlign w:val="bottom"/>
            <w:gridSpan w:val="2"/>
          </w:tcPr>
          <w:p>
            <w:pPr>
              <w:ind w:left="10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900" w:type="dxa"/>
            <w:vAlign w:val="bottom"/>
            <w:gridSpan w:val="2"/>
            <w:shd w:val="clear" w:color="auto" w:fill="CCEEFF"/>
          </w:tcPr>
          <w:p>
            <w:pPr>
              <w:ind w:left="25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0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Current liabilities of discontinued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3"/>
        </w:trPr>
        <w:tc>
          <w:tcPr>
            <w:tcW w:w="8900" w:type="dxa"/>
            <w:vAlign w:val="bottom"/>
            <w:gridSpan w:val="2"/>
            <w:shd w:val="clear" w:color="auto" w:fill="CCEEFF"/>
          </w:tcPr>
          <w:p>
            <w:pPr>
              <w:ind w:left="6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193"/>
        </w:trPr>
        <w:tc>
          <w:tcPr>
            <w:tcW w:w="8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Deferred tax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Employee benefit obligations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Long-term liabilities of discontinued operations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2"/>
        </w:trPr>
        <w:tc>
          <w:tcPr>
            <w:tcW w:w="8900" w:type="dxa"/>
            <w:vAlign w:val="bottom"/>
            <w:tcBorders>
              <w:top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193"/>
        </w:trPr>
        <w:tc>
          <w:tcPr>
            <w:tcW w:w="89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900" w:type="dxa"/>
            <w:vAlign w:val="bottom"/>
            <w:gridSpan w:val="2"/>
            <w:shd w:val="clear" w:color="auto" w:fill="CCEEFF"/>
          </w:tcPr>
          <w:p>
            <w:pPr>
              <w:ind w:left="300"/>
              <w:spacing w:after="0" w:line="168" w:lineRule="exact"/>
              <w:rPr>
                <w:sz w:val="20"/>
                <w:szCs w:val="20"/>
                <w:color w:val="auto"/>
              </w:rPr>
            </w:pPr>
            <w:r>
              <w:rPr>
                <w:rFonts w:ascii="Arial" w:cs="Arial" w:eastAsia="Arial" w:hAnsi="Arial"/>
                <w:sz w:val="16"/>
                <w:szCs w:val="16"/>
                <w:color w:val="auto"/>
              </w:rPr>
              <w:t>Convertible perpetual preferred stock, $0.001 par value; 10 shares authorized; — and 0.001 of</w:t>
            </w:r>
          </w:p>
        </w:tc>
        <w:tc>
          <w:tcPr>
            <w:tcW w:w="2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8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Series A shares issued and outstanding as of December 31, 2021 and 2020, respectively</w:t>
            </w: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900" w:type="dxa"/>
            <w:vAlign w:val="bottom"/>
            <w:gridSpan w:val="2"/>
          </w:tcPr>
          <w:p>
            <w:pPr>
              <w:ind w:left="300"/>
              <w:spacing w:after="0" w:line="166" w:lineRule="exact"/>
              <w:rPr>
                <w:sz w:val="20"/>
                <w:szCs w:val="20"/>
                <w:color w:val="auto"/>
              </w:rPr>
            </w:pPr>
            <w:r>
              <w:rPr>
                <w:rFonts w:ascii="Arial" w:cs="Arial" w:eastAsia="Arial" w:hAnsi="Arial"/>
                <w:sz w:val="16"/>
                <w:szCs w:val="16"/>
                <w:color w:val="auto"/>
              </w:rPr>
              <w:t>Common stock, $0.001 par value; 300 shares authorized; 115 and 102 shares issued and</w:t>
            </w: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00" w:type="dxa"/>
            <w:vAlign w:val="bottom"/>
            <w:gridSpan w:val="2"/>
          </w:tcPr>
          <w:p>
            <w:pPr>
              <w:ind w:left="540"/>
              <w:spacing w:after="0"/>
              <w:rPr>
                <w:sz w:val="20"/>
                <w:szCs w:val="20"/>
                <w:color w:val="auto"/>
              </w:rPr>
            </w:pPr>
            <w:r>
              <w:rPr>
                <w:rFonts w:ascii="Arial" w:cs="Arial" w:eastAsia="Arial" w:hAnsi="Arial"/>
                <w:sz w:val="16"/>
                <w:szCs w:val="16"/>
                <w:color w:val="auto"/>
              </w:rPr>
              <w:t>outstanding as of December 31, 2021 and 2020, respectively</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3"/>
        </w:trPr>
        <w:tc>
          <w:tcPr>
            <w:tcW w:w="8900" w:type="dxa"/>
            <w:vAlign w:val="bottom"/>
            <w:gridSpan w:val="2"/>
          </w:tcPr>
          <w:p>
            <w:pPr>
              <w:ind w:left="3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6"/>
        </w:trPr>
        <w:tc>
          <w:tcPr>
            <w:tcW w:w="890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0" w:type="dxa"/>
            <w:vAlign w:val="bottom"/>
          </w:tcPr>
          <w:p>
            <w:pPr>
              <w:spacing w:after="0"/>
              <w:rPr>
                <w:sz w:val="1"/>
                <w:szCs w:val="1"/>
                <w:color w:val="auto"/>
              </w:rPr>
            </w:pPr>
          </w:p>
        </w:tc>
      </w:tr>
      <w:tr>
        <w:trPr>
          <w:trHeight w:val="213"/>
        </w:trPr>
        <w:tc>
          <w:tcPr>
            <w:tcW w:w="8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Noncontrolling interests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6"/>
        </w:trPr>
        <w:tc>
          <w:tcPr>
            <w:tcW w:w="890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35"/>
        </w:trPr>
        <w:tc>
          <w:tcPr>
            <w:tcW w:w="89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426085</wp:posOffset>
            </wp:positionV>
            <wp:extent cx="32575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-38735</wp:posOffset>
            </wp:positionV>
            <wp:extent cx="65919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0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176"/>
        </w:trPr>
        <w:tc>
          <w:tcPr>
            <w:tcW w:w="74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Cost of transportation and services (exclusive of depreciation and</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29"/>
        </w:trPr>
        <w:tc>
          <w:tcPr>
            <w:tcW w:w="7420" w:type="dxa"/>
            <w:vAlign w:val="bottom"/>
            <w:gridSpan w:val="2"/>
          </w:tcPr>
          <w:p>
            <w:pPr>
              <w:ind w:left="6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expense (exclusive of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9"/>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Sales, 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Foreign currency (gain)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Debt extinguishment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55"/>
        </w:trPr>
        <w:tc>
          <w:tcPr>
            <w:tcW w:w="742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rPr>
              <w:t>Income (loss) from continuing operations before income tax provision</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(benefit)</w:t>
            </w: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Income (loss) from continuing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Income from discontinued operations, net of taxes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75"/>
        </w:trPr>
        <w:tc>
          <w:tcPr>
            <w:tcW w:w="742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Net loss from continuing operations attributable to noncontrolling</w:t>
            </w:r>
          </w:p>
        </w:tc>
        <w:tc>
          <w:tcPr>
            <w:tcW w:w="2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gridSpan w:val="2"/>
          </w:tcPr>
          <w:p>
            <w:pPr>
              <w:ind w:left="6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attributable to XPO</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Earnings (loss) per share data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Basic earnings (loss)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earnings per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Basic earnings per share attributable to common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Diluted earnings (loss) per share from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Diluted earnings per share from discontinued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Diluted earnings per share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Weighted-average common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40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572135</wp:posOffset>
            </wp:positionV>
            <wp:extent cx="32575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-38735</wp:posOffset>
            </wp:positionV>
            <wp:extent cx="65919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0"/>
        </w:trPr>
        <w:tc>
          <w:tcPr>
            <w:tcW w:w="7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Foreign currency translation gain (loss), net of tax effect of $—, $17 and $(7)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766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3"/>
              </w:rPr>
              <w:t>Unrealized gain (loss) on financial assets/liabilities designated as hedging instruments, net of tax</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effect of $1, $— and $(1)</w:t>
            </w: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Defined benefit plans adjustment, net of tax effect of $(11), $30 and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attributable to XPO</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580390</wp:posOffset>
            </wp:positionV>
            <wp:extent cx="32575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4"/>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 of continuing operations</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Income from discontinued operations,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7320" w:type="dxa"/>
            <w:vAlign w:val="bottom"/>
            <w:gridSpan w:val="2"/>
          </w:tcPr>
          <w:p>
            <w:pPr>
              <w:ind w:left="160"/>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65"/>
        </w:trPr>
        <w:tc>
          <w:tcPr>
            <w:tcW w:w="73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Adjustments to reconcile income (loss) from continuing operations to net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cash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Depreciation, amortization and net lease activity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Accretion of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tax expense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Debt extinguishment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Unrealized (gain) loss on foreign currency option and forward contracts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Gains on sales of property and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93"/>
        </w:trPr>
        <w:tc>
          <w:tcPr>
            <w:tcW w:w="73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 of continuing operations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for purchases of property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collected on deferred purchase price receivable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3"/>
        </w:trPr>
        <w:tc>
          <w:tcPr>
            <w:tcW w:w="73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 of continuing operations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issuance of debt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Proceeds from (repayment of) borrowings related to securitization program</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Repurchase of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Proceeds from borrowings on ABL facility</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Repayment of borrowings on ABL facility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Repayment of debt and finance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of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Cash paid in connection with preferred stock conversion</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(repurchase)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Change in bank overdrafts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for tax withholdings for restricted shares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320" w:type="dxa"/>
            <w:vAlign w:val="bottom"/>
            <w:gridSpan w:val="2"/>
          </w:tcPr>
          <w:p>
            <w:pPr>
              <w:ind w:left="280"/>
              <w:spacing w:after="0"/>
              <w:rPr>
                <w:sz w:val="20"/>
                <w:szCs w:val="20"/>
                <w:color w:val="auto"/>
              </w:rPr>
            </w:pPr>
            <w:r>
              <w:rPr>
                <w:rFonts w:ascii="Arial" w:cs="Arial" w:eastAsia="Arial" w:hAnsi="Arial"/>
                <w:sz w:val="16"/>
                <w:szCs w:val="16"/>
                <w:color w:val="auto"/>
              </w:rPr>
              <w:t>Distribution from GXO</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2"/>
        </w:trPr>
        <w:tc>
          <w:tcPr>
            <w:tcW w:w="73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Net cash provided by (used in) financing activities from continuing</w:t>
            </w: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40"/>
              <w:spacing w:after="0"/>
              <w:rPr>
                <w:sz w:val="20"/>
                <w:szCs w:val="20"/>
                <w:color w:val="auto"/>
              </w:rPr>
            </w:pPr>
            <w:r>
              <w:rPr>
                <w:rFonts w:ascii="Arial" w:cs="Arial" w:eastAsia="Arial" w:hAnsi="Arial"/>
                <w:sz w:val="16"/>
                <w:szCs w:val="16"/>
                <w:b w:val="1"/>
                <w:bCs w:val="1"/>
                <w:color w:val="auto"/>
              </w:rPr>
              <w:t>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402590</wp:posOffset>
            </wp:positionV>
            <wp:extent cx="32575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gridSpan w:val="2"/>
          </w:tcPr>
          <w:p>
            <w:pPr>
              <w:ind w:left="280"/>
              <w:spacing w:after="0"/>
              <w:rPr>
                <w:sz w:val="20"/>
                <w:szCs w:val="20"/>
                <w:color w:val="auto"/>
              </w:rPr>
            </w:pPr>
            <w:r>
              <w:rPr>
                <w:rFonts w:ascii="Arial" w:cs="Arial" w:eastAsia="Arial" w:hAnsi="Arial"/>
                <w:sz w:val="16"/>
                <w:szCs w:val="16"/>
                <w:color w:val="auto"/>
              </w:rPr>
              <w:t>Operating activities of discontinued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Investing activities of discontinued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Financing activities of discontinued operations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42"/>
        </w:trPr>
        <w:tc>
          <w:tcPr>
            <w:tcW w:w="72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Less: Cash, cash equivalents and restricted cash of discontinued operations,</w:t>
            </w: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end of year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72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Cash, cash equivalents and restricted cash of continuing operations, end of</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year</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0"/>
        </w:trPr>
        <w:tc>
          <w:tcPr>
            <w:tcW w:w="7240" w:type="dxa"/>
            <w:vAlign w:val="bottom"/>
            <w:gridSpan w:val="2"/>
          </w:tcPr>
          <w:p>
            <w:pPr>
              <w:ind w:left="28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366395</wp:posOffset>
            </wp:positionV>
            <wp:extent cx="3257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2"/>
                <w:szCs w:val="12"/>
                <w:b w:val="1"/>
                <w:bCs w:val="1"/>
                <w:color w:val="auto"/>
              </w:rPr>
              <w:t>Stock</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90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460" w:type="dxa"/>
            <w:vAlign w:val="bottom"/>
          </w:tcPr>
          <w:p>
            <w:pPr>
              <w:jc w:val="right"/>
              <w:ind w:right="2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2018</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115,683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3,970</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(1,275)</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92,342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Preferred stock conversion</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102,052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868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840105</wp:posOffset>
            </wp:positionV>
            <wp:extent cx="24003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-53340</wp:posOffset>
            </wp:positionV>
            <wp:extent cx="7054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2"/>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90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Stockholders’</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controlling</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460" w:type="dxa"/>
            <w:vAlign w:val="bottom"/>
          </w:tcPr>
          <w:p>
            <w:pPr>
              <w:jc w:val="right"/>
              <w:ind w:right="2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102,052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868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Spin-off of GXO</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(2,274)</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114,737</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572135</wp:posOffset>
            </wp:positionV>
            <wp:extent cx="24003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-53340</wp:posOffset>
            </wp:positionV>
            <wp:extent cx="70548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XPO Logistics, Inc., together with its subsidiaries (“XPO” or “we”), is a leading provider of freight transportation services. We use our proprietary technology to move goods efficiently through our customers’ supply chains, primarily by providing less-than-truckload (“LTL”) and truck brokerage services. See Note 4—Segment Reporting and Geographic Information for additional information on our operations.</w:t>
      </w:r>
    </w:p>
    <w:p>
      <w:pPr>
        <w:spacing w:after="0" w:line="1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August 2, 2021, we completed the previously announced spin-off of our Logistics segment in a transaction intended to qualify as tax-free to XPO and our stockholders for U.S. federal income tax purposes, which was accomplished by the distribution of 100% of the outstanding common stock of GXO Logistics, Inc. (“GXO”) to XPO stockholders. XPO stockholders received one share of GXO common stock for every share of XPO common stock held at the close of business on July 23, 2021, the record date for the distribution. XPO does not beneficially own any shares of GXO’s common stock following the spin-off. GXO is an independent public company trading under the symbol “GXO” on the New York Stock Exchange.</w:t>
      </w:r>
    </w:p>
    <w:p>
      <w:pPr>
        <w:spacing w:after="0" w:line="12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historical results of operations and the financial position of our Logistics segment for periods prior to the spin-off are presented as discontinued operations in these consolidated financial statements. For information on our discontinued operations, see Note 3—Discontinued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3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Following the spin-off, we adopted a new format for our Consolidated Statements of Income to separately present depreciation and amortization expense, transaction and integration costs and restructuring costs from other operating expenses. We have recast prior year amounts to conform to the current year’s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consolidated financial statements include the accounts of XPO, our wholly-owned subsidiaries, and our majority-owned subsidiaries and variable interest entity (“VIE”) where we are the primary beneficiary. We have eliminated intercompany accounts and transactions.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determine if we are a primary beneficiary of a VIE, we evaluate whether we are able to direct the activities that significantly impact the VIE’s economic performance, including whether we control the operations of each VIE and whether we can operate the VIE under our brand or policies. Investors in the VIE only have recourse to the assets owned by the VIE and not to our general credit. We do not have implicit support arrangements with the VIE. We consolidate the VIE, which is comprised of the special purpose entity related to the European Trade Securitization Program discussed below in this Note and in Note 12—Debt.</w:t>
      </w:r>
    </w:p>
    <w:p>
      <w:pPr>
        <w:spacing w:after="0" w:line="13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consolidated financial statements primarily related to a minority interest in XPO Logistics Europe SA (“XPO Logistics Europe”), a business we acquired majority ownership of in 2015.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2021, we completed a buy-out offer and squeeze-out for the remaining 3% of XPO Logistics Europe that we did not already own at a cost of $128 million plus expenses. Previously, in 2020 and 2019, we purchased shareholders’ noncontrolling interests in XPO Logistics Europe for €17 million (approximately $21 million) and €234 million (approximately $258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11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generate revenue by providing less-than-truckload, truck brokerage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expense the incremental costs of obtaining contracts when incurred if the amortization period of the assets is one year or less. These costs are included in Direct operating expense (exclusive of depreciation and amortization).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As</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of December 31, 2021, 2020 and 2019, our restricted cash included in Other long-term assets on our Consolidated Balance Sheets was $10 million, $11 million and $10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581025</wp:posOffset>
            </wp:positionV>
            <wp:extent cx="3257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record accounts receivable at the contractual amount and we record an allowance for credit losses for the amount we estimate we may not collect. In determining the allowance for credit losses,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in accordance with Accounting Standards Update (“ASU”) 2016-13, “Financial Instruments - Credit Losses (Topic 326): Measurement of Credit Losses on Financial Instruments”, we also consider reasonable and supportable forecasts of future economic conditions and their expected impact on customer collections in determining our allowance for credit losses. We write off accounts receivable balances once the receivables are no longer deemed collectible.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allowance for credit losses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41</w:t>
            </w: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tcPr>
          <w:p>
            <w:pPr>
              <w:spacing w:after="0"/>
              <w:rPr>
                <w:sz w:val="19"/>
                <w:szCs w:val="19"/>
                <w:color w:val="auto"/>
              </w:rPr>
            </w:pPr>
          </w:p>
        </w:tc>
        <w:tc>
          <w:tcPr>
            <w:tcW w:w="1160" w:type="dxa"/>
            <w:vAlign w:val="bottom"/>
          </w:tcPr>
          <w:p>
            <w:pPr>
              <w:jc w:val="center"/>
              <w:ind w:left="773"/>
              <w:spacing w:after="0"/>
              <w:rPr>
                <w:sz w:val="20"/>
                <w:szCs w:val="20"/>
                <w:color w:val="auto"/>
              </w:rPr>
            </w:pPr>
            <w:r>
              <w:rPr>
                <w:rFonts w:ascii="Arial" w:cs="Arial" w:eastAsia="Arial" w:hAnsi="Arial"/>
                <w:sz w:val="18"/>
                <w:szCs w:val="18"/>
                <w:color w:val="auto"/>
                <w:w w:val="89"/>
              </w:rPr>
              <w:t>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733"/>
              <w:spacing w:after="0"/>
              <w:rPr>
                <w:sz w:val="20"/>
                <w:szCs w:val="20"/>
                <w:color w:val="auto"/>
              </w:rPr>
            </w:pPr>
            <w:r>
              <w:rPr>
                <w:rFonts w:ascii="Arial" w:cs="Arial" w:eastAsia="Arial" w:hAnsi="Arial"/>
                <w:sz w:val="18"/>
                <w:szCs w:val="18"/>
                <w:color w:val="auto"/>
                <w:w w:val="89"/>
              </w:rPr>
              <w:t>20</w:t>
            </w: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3"/>
              </w:rPr>
              <w:t>(23)</w:t>
            </w:r>
          </w:p>
        </w:tc>
      </w:tr>
      <w:tr>
        <w:trPr>
          <w:trHeight w:val="230"/>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Cumulative effect adjustment for adoption of ASU 2016-13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7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99"/>
              </w:rPr>
              <w:t>—</w:t>
            </w:r>
          </w:p>
        </w:tc>
      </w:tr>
      <w:tr>
        <w:trPr>
          <w:trHeight w:val="24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38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European business participates in a trade receivables securitization program co-arranged by two European banks (the “Purchasers”). Under the program, a wholly-owned bankruptcy-remote special purpose entity of XPO sells trade receivables that originate with wholly-owned subsidiaries in the United Kingdom and France to unaffiliated entities managed by the Purchasers. The special purpose entity is a variable interest entity and is consolidated by XPO based on our control of the entity’s activities. The program expires in July 2024.</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 The fair value of any servicing assets and liabilities is immaterial. Our trade receivables securitization program permits us to borrow, on an unsecured basis, cash collected in a servicing capacity on previously sold receivables, which we report within short-term debt on our Consolidated Balance Sheets. See Note 12—Debt for additional information on these borrowings.</w:t>
      </w:r>
    </w:p>
    <w:p>
      <w:pPr>
        <w:spacing w:after="0" w:line="12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maximum amount of net cash proceeds available at any one time under the securitization program, inclusive of any unsecured borrowings, is €200 million (approximately $227 million as of December 31, 2021). Prior to July 2021, when the securitization program was amended in connection with the spin-off, the maximum amount available was €400 million. As of December 31, 2021, the maximum amount available under the program was utilized. The weighted average interest rate was 0.50% as of December 31, 2021. Charges for commitment fees, which are based on a percentage of available amounts, and charges for administrative fees were not material to our results of operations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308610</wp:posOffset>
            </wp:positionV>
            <wp:extent cx="3257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9"/>
        </w:trPr>
        <w:tc>
          <w:tcPr>
            <w:tcW w:w="6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00" w:type="dxa"/>
            <w:vAlign w:val="bottom"/>
          </w:tcPr>
          <w:p>
            <w:pPr>
              <w:jc w:val="right"/>
              <w:ind w:right="453"/>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473"/>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53"/>
              <w:spacing w:after="0" w:line="189"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29"/>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8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Information for the years ended December 31, 2021, 2020 and 2019 exclude the impact of the Logistics segment.</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cash considerations referenced above, we received $75 million in the year ended December 31, 2019,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Vehicles, containers, tractors, trailers and tankers</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3 to 15 years</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Rail cars and chassis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to 30 years</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3 to 10 years</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6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incremental borrowing rates based on the information available at commencement date to determine the present value of future lease payments. This rate is determined from a hypothetical yield curve that takes into consideration market yield levels of our relevant debt outstanding as well as the index that matches our credit rating, and then adjusts as if the borrowings were collateralized.</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Consolidated Balance Sheets. We account for lease and non-lease components within a contract as a single lease component for our real estate leases. For additional information on our leases, see Note 8—Leases.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334010</wp:posOffset>
            </wp:positionV>
            <wp:extent cx="3257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liability for an asset retirement obligation is recorded in the period in which it is incurred. When an asset retirement obligation liability is initially recorded, we capitalize the cost by increasing the carrying amount of the related long-lived asset. For each subsequent period, the liability is increased for accretion expense and the capitalized cost is depreciated over the useful life of the related asset.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w:t>
      </w:r>
    </w:p>
    <w:p>
      <w:pPr>
        <w:spacing w:after="0" w:line="12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our 2021 goodwill assessment, we performed a step-zero qualitative analysis for our three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3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For our 2020 goodwill assessment, we performed a quantitative analysis for the five reporting units that existed at the time of the assessment using a combination of income and market approaches with the assistance of a third-party valuation appraiser. As of August 31, 2020, we completed our annual impairment test for goodwill with all of our reporting units having fair values in excess of their carrying values, resulting in no impairment of goodwill. Our number of reporting units decreased from five in 2020 to three in 2021 as a result of the spin-off and other organizational changes.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intangible assets subject to amortization consist primarily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comparable with the risks associated with the recovery of the asset. We amortize intangible assets on a straight-line basis or on a basis consistent with the pattern in which the economic benefits are realized. The estimated useful life for customer relationships is 5 to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552450</wp:posOffset>
            </wp:positionV>
            <wp:extent cx="32575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expenses as of December 31, 2021 and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1"/>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w:t>
      </w:r>
    </w:p>
    <w:p>
      <w:pPr>
        <w:spacing w:after="0" w:line="13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retire shares purchased under our share repurchase program and return them to authorized and unissued status. We charge any excess of cost over par value to Additional paid-in capital if a balance is present. If Additional paid-in capital is fully depleted, any remaining excess of cost over par value will be charged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2021 and 2020,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85"/>
              <w:spacing w:after="0"/>
              <w:rPr>
                <w:sz w:val="20"/>
                <w:szCs w:val="20"/>
                <w:color w:val="auto"/>
              </w:rPr>
            </w:pPr>
            <w:r>
              <w:rPr>
                <w:rFonts w:ascii="Arial" w:cs="Arial" w:eastAsia="Arial" w:hAnsi="Arial"/>
                <w:sz w:val="14"/>
                <w:szCs w:val="14"/>
                <w:b w:val="1"/>
                <w:bCs w:val="1"/>
                <w:color w:val="auto"/>
                <w:w w:val="98"/>
              </w:rPr>
              <w:t>Less: AOCI</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w:t>
            </w:r>
          </w:p>
        </w:tc>
        <w:tc>
          <w:tcPr>
            <w:tcW w:w="1200" w:type="dxa"/>
            <w:vAlign w:val="bottom"/>
          </w:tcPr>
          <w:p>
            <w:pPr>
              <w:jc w:val="center"/>
              <w:ind w:left="165"/>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1"/>
                <w:szCs w:val="11"/>
                <w:color w:val="auto"/>
              </w:rPr>
            </w:pPr>
          </w:p>
        </w:tc>
        <w:tc>
          <w:tcPr>
            <w:tcW w:w="13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Derivative Hedges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tcPr>
          <w:p>
            <w:pPr>
              <w:jc w:val="center"/>
              <w:ind w:left="165"/>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7"/>
              </w:rPr>
              <w:t>Plans Liability</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XPO</w:t>
            </w:r>
          </w:p>
        </w:tc>
        <w:tc>
          <w:tcPr>
            <w:tcW w:w="0" w:type="dxa"/>
            <w:vAlign w:val="bottom"/>
          </w:tcPr>
          <w:p>
            <w:pPr>
              <w:spacing w:after="0"/>
              <w:rPr>
                <w:sz w:val="1"/>
                <w:szCs w:val="1"/>
                <w:color w:val="auto"/>
              </w:rPr>
            </w:pPr>
          </w:p>
        </w:tc>
      </w:tr>
      <w:tr>
        <w:trPr>
          <w:trHeight w:val="21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3840" w:type="dxa"/>
            <w:vAlign w:val="bottom"/>
            <w:gridSpan w:val="2"/>
          </w:tcPr>
          <w:p>
            <w:pPr>
              <w:ind w:left="24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6"/>
        </w:trPr>
        <w:tc>
          <w:tcPr>
            <w:tcW w:w="3840" w:type="dxa"/>
            <w:vAlign w:val="bottom"/>
            <w:gridSpan w:val="2"/>
          </w:tcPr>
          <w:p>
            <w:pPr>
              <w:ind w:left="240"/>
              <w:spacing w:after="0" w:line="146" w:lineRule="exact"/>
              <w:rPr>
                <w:sz w:val="20"/>
                <w:szCs w:val="20"/>
                <w:color w:val="auto"/>
              </w:rPr>
            </w:pPr>
            <w:r>
              <w:rPr>
                <w:rFonts w:ascii="Arial" w:cs="Arial" w:eastAsia="Arial" w:hAnsi="Arial"/>
                <w:sz w:val="16"/>
                <w:szCs w:val="16"/>
                <w:color w:val="auto"/>
              </w:rPr>
              <w:t>Net current period other</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comprehensive income (loss)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7"/>
        </w:trPr>
        <w:tc>
          <w:tcPr>
            <w:tcW w:w="3840" w:type="dxa"/>
            <w:vAlign w:val="bottom"/>
            <w:gridSpan w:val="2"/>
          </w:tcPr>
          <w:p>
            <w:pPr>
              <w:ind w:left="24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3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46"/>
        </w:trPr>
        <w:tc>
          <w:tcPr>
            <w:tcW w:w="3840" w:type="dxa"/>
            <w:vAlign w:val="bottom"/>
            <w:gridSpan w:val="2"/>
          </w:tcPr>
          <w:p>
            <w:pPr>
              <w:ind w:left="240"/>
              <w:spacing w:after="0" w:line="146" w:lineRule="exact"/>
              <w:rPr>
                <w:sz w:val="20"/>
                <w:szCs w:val="20"/>
                <w:color w:val="auto"/>
              </w:rPr>
            </w:pPr>
            <w:r>
              <w:rPr>
                <w:rFonts w:ascii="Arial" w:cs="Arial" w:eastAsia="Arial" w:hAnsi="Arial"/>
                <w:sz w:val="16"/>
                <w:szCs w:val="16"/>
                <w:color w:val="auto"/>
              </w:rPr>
              <w:t>Net current period other</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3840" w:type="dxa"/>
            <w:vAlign w:val="bottom"/>
            <w:gridSpan w:val="2"/>
          </w:tcPr>
          <w:p>
            <w:pPr>
              <w:ind w:left="520"/>
              <w:spacing w:after="0"/>
              <w:rPr>
                <w:sz w:val="20"/>
                <w:szCs w:val="20"/>
                <w:color w:val="auto"/>
              </w:rPr>
            </w:pPr>
            <w:r>
              <w:rPr>
                <w:rFonts w:ascii="Arial" w:cs="Arial" w:eastAsia="Arial" w:hAnsi="Arial"/>
                <w:sz w:val="16"/>
                <w:szCs w:val="16"/>
                <w:color w:val="auto"/>
              </w:rPr>
              <w:t>comprehensive income (loss)</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Spin-off of GXO</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As of December 31,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0" w:type="dxa"/>
            <w:vAlign w:val="bottom"/>
          </w:tcPr>
          <w:p>
            <w:pPr>
              <w:jc w:val="right"/>
              <w:ind w:right="1025"/>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Evaluating our tax positions would include but not be limited to our tax positions on internal restructuring transactions as well as the spin-off of GXO. Valuation allowances are established when, in our judgment, it is more likely than not that our deferred tax assets will not be realized based on all available evidence. We record Global Intangible Low-Taxed Income (“GILTI”) tax as a period cost.</w:t>
      </w:r>
    </w:p>
    <w:p>
      <w:pPr>
        <w:spacing w:after="0" w:line="1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tax returns are subject to examination by U.S. Federal, state and foreign taxing jurisdictions. We regularly assess the potential outcomes of these examinations and any future examinations for the current or prior years.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Consolidated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convert foreign currency transactions recognized on our Consolidated Statements of Income to USD by applying the exchange rate prevailing on the date of the transaction. Gains and losses arising from foreign currency transactions and the effects of remeasuring monetary assets and liabilities are recorded in Foreign currency (gain) loss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December 31, 2021 and 2020 due to their short-term nature and/or being receivable or payable on demand. The Level 1 cash equivalents include money market funds valued using quoted prices in active markets and a cash deposit for the securitization program. For information on the fair value hierarchy of our derivative instruments, see Note 11— Derivative Instruments and for information on financial liabilities, see Note 12—Debt.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1</w:t>
            </w:r>
          </w:p>
        </w:tc>
      </w:tr>
      <w:tr>
        <w:trPr>
          <w:trHeight w:val="229"/>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w:t>
            </w:r>
          </w:p>
        </w:tc>
      </w:tr>
    </w:tbl>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decrease in cash equivalents from December 31, 2020 to December 31, 2021 was primarily due to the redemption of our senior notes due 2022, 2023 and 2024 and the repayment of borrowings under our revolving loan credit agreement (the “ABL Facility”) in 2021. For further information, see Note 12—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record all derivative instruments on our Consolidated Balance Sheets as assets or liabilities at fair value. Our accounting treatment for changes in the fair value of derivative instruments depends on whether the instruments have been designated and qualify as part of a hedging relationship and on the type of hedging relationship. For those derivative instruments that are designated and qualify as hedging instruments, we must designate the derivative based on the exposure being hedged and assess, both at the hedge’s inception and on an ongoing basis, whether the designated derivative instruments are highly effective in offsetting changes in earnings and cash flows of the hedged items. When a derivative instrument is determined not to be highly effective as a hedge or the underlying hedged transaction is no longer probable, hedge accounting is discontinued prospectively. We link cash flow hedges to specific forecasted transactions or variability of cash flow to be paid.</w:t>
      </w:r>
    </w:p>
    <w:p>
      <w:pPr>
        <w:spacing w:after="0" w:line="12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gain or loss resulting from fair value adjustments on cash flow hedges are recorded in AOCI on our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 the designated risk. Gains and losses on cash flow hedges and net investment hedges representing hedge components excluded from the assessment of effectiveness will be amortized into Interest expense on our Consolidated Statements of Income in a systematic manner. Derivatives that are not designated as hedging instruments are adjusted to fair value through earnings and are recorded in Foreign currency (gain) loss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310515</wp:posOffset>
            </wp:positionV>
            <wp:extent cx="3257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calculate defined benefit pension plan obligations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our best estimates based on available information regarding historical experience and factors that may cause future expectations to differ. Our obligation and future expense amounts could be materially impacted by differences in actual experience or changes in assumptions.</w:t>
      </w:r>
    </w:p>
    <w:p>
      <w:pPr>
        <w:spacing w:after="0" w:line="13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on the date of the grant. For grants of RSUs subject to market-based vesting conditions, we establish the fair value using the Monte Carlo simulation lattice model. We determined the fair value of our stock-based awards based on our stock price and a number of assumptions, including expected volatility, expected life, risk-free interest rate and expected dividends. We account for forfeitures as they occur.</w:t>
      </w:r>
    </w:p>
    <w:p>
      <w:pPr>
        <w:spacing w:after="0" w:line="13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The ASU increases the transparency surrounding government assistance by requiring disclosure of (i) the types of assistance received, (ii) an entity’s accounting for the assistance and (iii) the effect of the assistance on the entity’s financial statements. This ASU is effective for fiscal years beginning after December 15, 2021. Early adoption is permitted. We are currently evaluating the impact of the new guidance, which is limited to financial statement disclosures.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582930</wp:posOffset>
            </wp:positionV>
            <wp:extent cx="325755"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discussed above, on August 2, 2021, we completed the spin-off of our Logistics segment. In July 2021, GXO completed a debt offering and used the net proceeds to fund a cash payment from GXO to XPO of $794 million, which we used to repay a portion of our outstanding borrowings. For further information, see Note 12—Debt. During the year ended December 31, 2021, we incurred approximately $125 million of costs related to the spin-off, of which $101 million are reflected within income from discontinued operations in our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results from discontinued operations of GXO: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176"/>
        </w:trPr>
        <w:tc>
          <w:tcPr>
            <w:tcW w:w="700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Direct operating expense (exclusive of depreciation and</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29"/>
        </w:trPr>
        <w:tc>
          <w:tcPr>
            <w:tcW w:w="7000" w:type="dxa"/>
            <w:vAlign w:val="bottom"/>
            <w:gridSpan w:val="2"/>
          </w:tcPr>
          <w:p>
            <w:pPr>
              <w:ind w:left="6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Sales, general and administrative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Transaction and other operating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discontinued operations before income tax provision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discontinued operations, net of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75"/>
        </w:trPr>
        <w:tc>
          <w:tcPr>
            <w:tcW w:w="700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discontinued operations attributable to GXO</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1954530</wp:posOffset>
            </wp:positionV>
            <wp:extent cx="3257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from discontinued operations of GXO: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9"/>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current assets of discontinued 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long-term assets of discontinued 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current liabilities of discontinued 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9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liabilities of discontinued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Prior to the spin-off of GXO, the U.K. pension plan was sold to a GXO entity. For further information, see Note 13—Employee Benefit Plans.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spin-off, we entered into a separation and distribution agreement as well as various other agreements with GXO that provide a framework for the relationships between the parties going forward, including, among others, an employee matters agreement (“EMA”), a tax matters agreement, an intellectual property license agreement and a transition services agreement, through which XPO will continue to provide certain services for a period of time specified in the applicable agreement to GXO following the spin-off. The impact of these services on the consolidated financial statements was immaterial. Additionally, in accordance with these agreements, GXO has agreed to indemnify XPO for certain payments XPO makes with respect to certain self-insurance matters that were incurred by GXO prior to the spin-off and remain obligations of XPO. The receivable and reserve for these matters was approximately $23 million and $21 million, respectively,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644525</wp:posOffset>
            </wp:positionV>
            <wp:extent cx="325755"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 and Geographic Information</w:t>
      </w:r>
    </w:p>
    <w:p>
      <w:pPr>
        <w:spacing w:after="0" w:line="17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spin-off, we revised our reportable segments to reflect how our chief operating decision maker (“CODM”) makes decisions related to resource allocation and segment performance. Prior to the spin-off, we had two reportable segments: Transportation and Logistics. Following the spin-off, we have two reportable segments: (i) North American LTL and (ii) Brokerage and Other Services.</w:t>
      </w:r>
    </w:p>
    <w:p>
      <w:pPr>
        <w:spacing w:after="0" w:line="13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our North American LTL segment, we provide our customers with geographic density and day-definite regional, inter-regional and transcontinental LTL freight services. Our services include cross-border U.S. service to and from Mexico and Canada, as well as intra-Canada service.</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Brokerage and Other Services segment, shippers create the truckload demand and we place their freight with qualified carriers, pricing our service on either a spot or contract basis. Our Brokerage and Other Services segment also includes last mile logistics for heavy goods sold through e-commerce, omnichannel retail and direct-to-consumer channels. Several other non-core brokered freight transportation modes are included in our Brokerage and Other Services segment, as well as our European transportation offerings.</w:t>
      </w:r>
    </w:p>
    <w:p>
      <w:pPr>
        <w:spacing w:after="0" w:line="13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CODM regularly reviews financial information at the operating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 During the third quarter of 2021, our CODM began evaluating segment profit (loss) based on adjusted earnings before interest, taxes, depreciation and amortization (“Adjusted EBITDA”), which we define as income (loss) from continuing operations before debt extinguishment loss, interest expense, income tax, depreciation and amortization expense, litigation settlements for significant matters, transaction and integration costs, restructuring costs and other adjustments. Prior to the change in our reporting segments in the third quarter of 2021, our CODM used operating income as the measure of segment profit (loss). Prior period segment disclosures have been recast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North American LTL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4,118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Brokerage and Other 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North American LTL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Brokerage and Other 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adjusted EBITDA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Debt extinguishment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76"/>
        </w:trPr>
        <w:tc>
          <w:tcPr>
            <w:tcW w:w="61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 loss on foreign currency option and</w:t>
            </w: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forward contracts</w:t>
            </w: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Litigation settlements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Transaction and integration costs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gridSpan w:val="2"/>
          </w:tcPr>
          <w:p>
            <w:pPr>
              <w:ind w:left="360"/>
              <w:spacing w:after="0" w:line="230"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North American LTL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Brokerage and Other 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80" w:hanging="328"/>
        <w:spacing w:after="0" w:line="249" w:lineRule="auto"/>
        <w:tabs>
          <w:tab w:leader="none" w:pos="645"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Transaction and integration costs for 2021 and 2020 are primarily comprised of third-party professional fees related to strategic initiatives, including the spin-off of the Logistics segment, as well as retention awards paid to certain employees. Additionally, transaction and integration costs for 2020 included professional fees related to our previously announced exploration of strategic alternatives that was terminated in March 2020. Transaction and integration costs for 2021 and 2020 include $1 million and $5 million, respectively, related to our North American LTL segment; $16 million and $16 million, respectively, related to our Brokerage and Other Services segment and $20 million and $54 million, respectively, related to Corporate.</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6— Restructuring Charges for further information on our restructuring 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we held long-lived tangible assets outside of the U.S. of $422 million and $465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b w:val="1"/>
                <w:bCs w:val="1"/>
                <w:color w:val="auto"/>
              </w:rPr>
              <w:t>Year Ended December 31, 2021</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6" w:lineRule="exact"/>
              <w:rPr>
                <w:sz w:val="20"/>
                <w:szCs w:val="20"/>
                <w:color w:val="auto"/>
              </w:rPr>
            </w:pPr>
            <w:r>
              <w:rPr>
                <w:rFonts w:ascii="Arial" w:cs="Arial" w:eastAsia="Arial" w:hAnsi="Arial"/>
                <w:sz w:val="15"/>
                <w:szCs w:val="15"/>
                <w:b w:val="1"/>
                <w:bCs w:val="1"/>
                <w:color w:val="auto"/>
                <w:w w:val="94"/>
              </w:rPr>
              <w:t>North</w:t>
            </w: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Brokerage and</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9" w:lineRule="exact"/>
              <w:rPr>
                <w:sz w:val="20"/>
                <w:szCs w:val="20"/>
                <w:color w:val="auto"/>
              </w:rPr>
            </w:pPr>
            <w:r>
              <w:rPr>
                <w:rFonts w:ascii="Arial" w:cs="Arial" w:eastAsia="Arial" w:hAnsi="Arial"/>
                <w:sz w:val="15"/>
                <w:szCs w:val="15"/>
                <w:b w:val="1"/>
                <w:bCs w:val="1"/>
                <w:color w:val="auto"/>
                <w:w w:val="96"/>
              </w:rPr>
              <w:t>American</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Eliminations</w:t>
            </w:r>
          </w:p>
        </w:tc>
        <w:tc>
          <w:tcPr>
            <w:tcW w:w="32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5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rPr>
              <w:t>LTL</w:t>
            </w: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Other Services</w:t>
            </w: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(219)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5"/>
              </w:rPr>
              <w:t>(219)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0"/>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b w:val="1"/>
                <w:bCs w:val="1"/>
                <w:color w:val="auto"/>
              </w:rPr>
              <w:t>Year Ended December 31, 2020</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6" w:lineRule="exact"/>
              <w:rPr>
                <w:sz w:val="20"/>
                <w:szCs w:val="20"/>
                <w:color w:val="auto"/>
              </w:rPr>
            </w:pPr>
            <w:r>
              <w:rPr>
                <w:rFonts w:ascii="Arial" w:cs="Arial" w:eastAsia="Arial" w:hAnsi="Arial"/>
                <w:sz w:val="15"/>
                <w:szCs w:val="15"/>
                <w:b w:val="1"/>
                <w:bCs w:val="1"/>
                <w:color w:val="auto"/>
                <w:w w:val="94"/>
              </w:rPr>
              <w:t>North</w:t>
            </w: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Brokerage and</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9" w:lineRule="exact"/>
              <w:rPr>
                <w:sz w:val="20"/>
                <w:szCs w:val="20"/>
                <w:color w:val="auto"/>
              </w:rPr>
            </w:pPr>
            <w:r>
              <w:rPr>
                <w:rFonts w:ascii="Arial" w:cs="Arial" w:eastAsia="Arial" w:hAnsi="Arial"/>
                <w:sz w:val="15"/>
                <w:szCs w:val="15"/>
                <w:b w:val="1"/>
                <w:bCs w:val="1"/>
                <w:color w:val="auto"/>
                <w:w w:val="96"/>
              </w:rPr>
              <w:t>American</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Eliminations</w:t>
            </w:r>
          </w:p>
        </w:tc>
        <w:tc>
          <w:tcPr>
            <w:tcW w:w="32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5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rPr>
              <w:t>LTL</w:t>
            </w: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Other Services</w:t>
            </w: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3,461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(140)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3,539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5"/>
              </w:rPr>
              <w:t>(140)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3"/>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b w:val="1"/>
                <w:bCs w:val="1"/>
                <w:color w:val="auto"/>
              </w:rPr>
              <w:t>Year Ended December 31, 2019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6" w:lineRule="exact"/>
              <w:rPr>
                <w:sz w:val="20"/>
                <w:szCs w:val="20"/>
                <w:color w:val="auto"/>
              </w:rPr>
            </w:pPr>
            <w:r>
              <w:rPr>
                <w:rFonts w:ascii="Arial" w:cs="Arial" w:eastAsia="Arial" w:hAnsi="Arial"/>
                <w:sz w:val="15"/>
                <w:szCs w:val="15"/>
                <w:b w:val="1"/>
                <w:bCs w:val="1"/>
                <w:color w:val="auto"/>
                <w:w w:val="94"/>
              </w:rPr>
              <w:t>North</w:t>
            </w:r>
          </w:p>
        </w:tc>
        <w:tc>
          <w:tcPr>
            <w:tcW w:w="16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Brokerage and</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400"/>
              <w:spacing w:after="0" w:line="149" w:lineRule="exact"/>
              <w:rPr>
                <w:sz w:val="20"/>
                <w:szCs w:val="20"/>
                <w:color w:val="auto"/>
              </w:rPr>
            </w:pPr>
            <w:r>
              <w:rPr>
                <w:rFonts w:ascii="Arial" w:cs="Arial" w:eastAsia="Arial" w:hAnsi="Arial"/>
                <w:sz w:val="15"/>
                <w:szCs w:val="15"/>
                <w:b w:val="1"/>
                <w:bCs w:val="1"/>
                <w:color w:val="auto"/>
                <w:w w:val="96"/>
              </w:rPr>
              <w:t>American</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Eliminations</w:t>
            </w:r>
          </w:p>
        </w:tc>
        <w:tc>
          <w:tcPr>
            <w:tcW w:w="32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0"/>
        </w:trPr>
        <w:tc>
          <w:tcPr>
            <w:tcW w:w="51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rPr>
              <w:t>LTL</w:t>
            </w: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Other Services</w:t>
            </w: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3,702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(151)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North America (excluding United States)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4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5120" w:type="dxa"/>
            <w:vAlign w:val="bottom"/>
            <w:gridSpan w:val="3"/>
          </w:tcPr>
          <w:p>
            <w:pPr>
              <w:ind w:left="140"/>
              <w:spacing w:after="0"/>
              <w:rPr>
                <w:sz w:val="20"/>
                <w:szCs w:val="20"/>
                <w:color w:val="auto"/>
              </w:rPr>
            </w:pPr>
            <w:r>
              <w:rPr>
                <w:rFonts w:ascii="Arial" w:cs="Arial" w:eastAsia="Arial" w:hAnsi="Arial"/>
                <w:sz w:val="18"/>
                <w:szCs w:val="18"/>
                <w:color w:val="auto"/>
              </w:rPr>
              <w:t>Europe (excluding France and United Kingdom)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3,791</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5"/>
              </w:rPr>
              <w:t>(151)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6"/>
              <w:spacing w:after="0"/>
              <w:rPr>
                <w:sz w:val="20"/>
                <w:szCs w:val="20"/>
                <w:color w:val="auto"/>
              </w:rPr>
            </w:pPr>
            <w:r>
              <w:rPr>
                <w:rFonts w:ascii="Arial" w:cs="Arial" w:eastAsia="Arial" w:hAnsi="Arial"/>
                <w:sz w:val="18"/>
                <w:szCs w:val="18"/>
                <w:color w:val="FFFFFF"/>
              </w:rPr>
              <w:t>74</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Our revenue disaggregated by service offering was as follows: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4"/>
              </w:rPr>
              <w:t>Years Ended December 31,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88"/>
        </w:trPr>
        <w:tc>
          <w:tcPr>
            <w:tcW w:w="58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9"/>
        </w:trPr>
        <w:tc>
          <w:tcPr>
            <w:tcW w:w="588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LTL </w:t>
            </w:r>
            <w:r>
              <w:rPr>
                <w:rFonts w:ascii="Arial" w:cs="Arial" w:eastAsia="Arial" w:hAnsi="Arial"/>
                <w:sz w:val="23"/>
                <w:szCs w:val="23"/>
                <w:color w:val="auto"/>
                <w:vertAlign w:val="superscript"/>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4,192</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3,841</w:t>
            </w:r>
          </w:p>
        </w:tc>
      </w:tr>
      <w:tr>
        <w:trPr>
          <w:trHeight w:val="230"/>
        </w:trPr>
        <w:tc>
          <w:tcPr>
            <w:tcW w:w="5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Truck brokerage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5880" w:type="dxa"/>
            <w:vAlign w:val="bottom"/>
            <w:gridSpan w:val="2"/>
          </w:tcPr>
          <w:p>
            <w:pPr>
              <w:ind w:left="280"/>
              <w:spacing w:after="0"/>
              <w:rPr>
                <w:sz w:val="20"/>
                <w:szCs w:val="20"/>
                <w:color w:val="auto"/>
              </w:rPr>
            </w:pPr>
            <w:r>
              <w:rPr>
                <w:rFonts w:ascii="Arial" w:cs="Arial" w:eastAsia="Arial" w:hAnsi="Arial"/>
                <w:sz w:val="18"/>
                <w:szCs w:val="18"/>
                <w:color w:val="auto"/>
              </w:rPr>
              <w:t>Last mile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5880" w:type="dxa"/>
            <w:vAlign w:val="bottom"/>
            <w:gridSpan w:val="2"/>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Other brokerage </w:t>
            </w:r>
            <w:r>
              <w:rPr>
                <w:rFonts w:ascii="Arial" w:cs="Arial" w:eastAsia="Arial" w:hAnsi="Arial"/>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North America</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7,939</w:t>
            </w: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r>
      <w:tr>
        <w:trPr>
          <w:trHeight w:val="229"/>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Eliminations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Less-Than-Truckload revenue is before intercompany eliminations and includes revenue from the Company’s trailer manufacturing business.</w:t>
      </w:r>
    </w:p>
    <w:p>
      <w:pPr>
        <w:spacing w:after="0" w:line="109" w:lineRule="exact"/>
        <w:rPr>
          <w:rFonts w:ascii="Arial" w:cs="Arial" w:eastAsia="Arial" w:hAnsi="Arial"/>
          <w:sz w:val="14"/>
          <w:szCs w:val="14"/>
          <w:color w:val="auto"/>
        </w:rPr>
      </w:pPr>
    </w:p>
    <w:p>
      <w:pPr>
        <w:ind w:left="660" w:hanging="328"/>
        <w:spacing w:after="0" w:line="273" w:lineRule="auto"/>
        <w:tabs>
          <w:tab w:leader="none" w:pos="648"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brokerage includes intermodal and drayage, expedite, freight forwarding and managed transportation services. Freight forwarding includes operations conducted outside of North America but managed by our North American entities.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2021, the fixed consideration component of our remaining performance obligation was approximately $124 million, and we expect approximately 86% of that amount to be recognized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connection with the spin-off and in response to COVID-19. These actions generally include severance and facility-related costs, including impairment of right-of-use assets, and are intended to improve our efficiency and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restructuring-related activity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2"/>
              </w:rPr>
              <w:t>Year Ended December 31, 2021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left="161"/>
              <w:spacing w:after="0" w:line="122" w:lineRule="exact"/>
              <w:rPr>
                <w:sz w:val="20"/>
                <w:szCs w:val="20"/>
                <w:color w:val="auto"/>
              </w:rPr>
            </w:pPr>
            <w:r>
              <w:rPr>
                <w:rFonts w:ascii="Arial" w:cs="Arial" w:eastAsia="Arial" w:hAnsi="Arial"/>
                <w:sz w:val="14"/>
                <w:szCs w:val="14"/>
                <w:b w:val="1"/>
                <w:bCs w:val="1"/>
                <w:color w:val="auto"/>
                <w:w w:val="89"/>
              </w:rPr>
              <w:t>Reserve Balance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Foreign Exchange</w:t>
            </w:r>
          </w:p>
        </w:tc>
        <w:tc>
          <w:tcPr>
            <w:tcW w:w="200" w:type="dxa"/>
            <w:vAlign w:val="bottom"/>
          </w:tcPr>
          <w:p>
            <w:pPr>
              <w:spacing w:after="0"/>
              <w:rPr>
                <w:sz w:val="10"/>
                <w:szCs w:val="10"/>
                <w:color w:val="auto"/>
              </w:rPr>
            </w:pPr>
          </w:p>
        </w:tc>
        <w:tc>
          <w:tcPr>
            <w:tcW w:w="152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89"/>
              </w:rPr>
              <w:t>Reserve Balance</w:t>
            </w:r>
          </w:p>
        </w:tc>
        <w:tc>
          <w:tcPr>
            <w:tcW w:w="0" w:type="dxa"/>
            <w:vAlign w:val="bottom"/>
          </w:tcPr>
          <w:p>
            <w:pPr>
              <w:spacing w:after="0"/>
              <w:rPr>
                <w:sz w:val="1"/>
                <w:szCs w:val="1"/>
                <w:color w:val="auto"/>
              </w:rPr>
            </w:pPr>
          </w:p>
        </w:tc>
      </w:tr>
      <w:tr>
        <w:trPr>
          <w:trHeight w:val="135"/>
        </w:trPr>
        <w:tc>
          <w:tcPr>
            <w:tcW w:w="354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40" w:type="dxa"/>
            <w:vAlign w:val="bottom"/>
          </w:tcPr>
          <w:p>
            <w:pPr>
              <w:jc w:val="center"/>
              <w:ind w:left="121"/>
              <w:spacing w:after="0" w:line="135"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Charges Incurred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Payments</w:t>
            </w:r>
          </w:p>
        </w:tc>
        <w:tc>
          <w:tcPr>
            <w:tcW w:w="13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3540" w:type="dxa"/>
            <w:vAlign w:val="bottom"/>
            <w:gridSpan w:val="3"/>
            <w:vMerge w:val="continue"/>
          </w:tcPr>
          <w:p>
            <w:pPr>
              <w:spacing w:after="0"/>
              <w:rPr>
                <w:sz w:val="16"/>
                <w:szCs w:val="16"/>
                <w:color w:val="auto"/>
              </w:rPr>
            </w:pPr>
          </w:p>
        </w:tc>
        <w:tc>
          <w:tcPr>
            <w:tcW w:w="1440" w:type="dxa"/>
            <w:vAlign w:val="bottom"/>
          </w:tcPr>
          <w:p>
            <w:pPr>
              <w:jc w:val="center"/>
              <w:ind w:left="161"/>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6"/>
                <w:szCs w:val="16"/>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4"/>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Brokerage and Other Services</w:t>
            </w:r>
          </w:p>
        </w:tc>
        <w:tc>
          <w:tcPr>
            <w:tcW w:w="1440" w:type="dxa"/>
            <w:vAlign w:val="bottom"/>
          </w:tcPr>
          <w:p>
            <w:pPr>
              <w:jc w:val="right"/>
              <w:ind w:right="1261"/>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1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Total severance</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Facilities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ind w:left="220"/>
              <w:spacing w:after="0"/>
              <w:rPr>
                <w:sz w:val="20"/>
                <w:szCs w:val="20"/>
                <w:color w:val="auto"/>
              </w:rPr>
            </w:pPr>
            <w:r>
              <w:rPr>
                <w:rFonts w:ascii="Arial" w:cs="Arial" w:eastAsia="Arial" w:hAnsi="Arial"/>
                <w:sz w:val="18"/>
                <w:szCs w:val="18"/>
                <w:color w:val="auto"/>
              </w:rPr>
              <w:t>Brokerage and Other Services</w:t>
            </w:r>
          </w:p>
        </w:tc>
        <w:tc>
          <w:tcPr>
            <w:tcW w:w="14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facilities</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tcPr>
          <w:p>
            <w:pPr>
              <w:jc w:val="right"/>
              <w:ind w:right="126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CC0000"/>
            </w:tcBorders>
            <w:shd w:val="clear" w:color="auto" w:fill="CC0000"/>
          </w:tcPr>
          <w:p>
            <w:pPr>
              <w:spacing w:after="0"/>
              <w:rPr>
                <w:sz w:val="14"/>
                <w:szCs w:val="14"/>
                <w:color w:val="auto"/>
              </w:rPr>
            </w:pPr>
          </w:p>
        </w:tc>
        <w:tc>
          <w:tcPr>
            <w:tcW w:w="38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w w:val="89"/>
              </w:rPr>
              <w:t>75</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CC0000"/>
            </w:tcBorders>
            <w:shd w:val="clear" w:color="auto" w:fill="CC0000"/>
          </w:tcPr>
          <w:p>
            <w:pPr>
              <w:spacing w:after="0"/>
              <w:rPr>
                <w:sz w:val="10"/>
                <w:szCs w:val="10"/>
                <w:color w:val="auto"/>
              </w:rPr>
            </w:pPr>
          </w:p>
        </w:tc>
        <w:tc>
          <w:tcPr>
            <w:tcW w:w="38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expect the majority of the cash outlays related to the charges incurred in 2021 will be complete within twelve months.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2020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0"/>
              </w:rPr>
              <w:t>Reserve Balance</w:t>
            </w: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Foreign Exchange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214"/>
              <w:spacing w:after="0" w:line="122" w:lineRule="exact"/>
              <w:rPr>
                <w:sz w:val="20"/>
                <w:szCs w:val="20"/>
                <w:color w:val="auto"/>
              </w:rPr>
            </w:pPr>
            <w:r>
              <w:rPr>
                <w:rFonts w:ascii="Arial" w:cs="Arial" w:eastAsia="Arial" w:hAnsi="Arial"/>
                <w:sz w:val="14"/>
                <w:szCs w:val="14"/>
                <w:b w:val="1"/>
                <w:bCs w:val="1"/>
                <w:color w:val="auto"/>
                <w:w w:val="90"/>
              </w:rPr>
              <w:t>Reserve Balance</w:t>
            </w: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as of</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Charges Incurred</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234"/>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December 31, 2019</w:t>
            </w:r>
          </w:p>
        </w:tc>
        <w:tc>
          <w:tcPr>
            <w:tcW w:w="140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19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4"/>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North American LTL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Brokerage and Other Services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Brokerage and Other Services</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facilities</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20"/>
              <w:spacing w:after="0"/>
              <w:rPr>
                <w:sz w:val="20"/>
                <w:szCs w:val="20"/>
                <w:color w:val="auto"/>
              </w:rPr>
            </w:pPr>
            <w:r>
              <w:rPr>
                <w:rFonts w:ascii="Arial" w:cs="Arial" w:eastAsia="Arial" w:hAnsi="Arial"/>
                <w:sz w:val="18"/>
                <w:szCs w:val="18"/>
                <w:color w:val="auto"/>
              </w:rPr>
              <w:t>Vehicles, tractors, trailers and tankers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Computer software and equipment</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89"/>
              </w:rPr>
              <w:t>Less: accumulated depreciation and amortization</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1"/>
              </w:rPr>
              <w:t>(1,828)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gridSpan w:val="9"/>
            <w:vMerge w:val="restart"/>
          </w:tcPr>
          <w:p>
            <w:pPr>
              <w:ind w:left="20"/>
              <w:spacing w:after="0"/>
              <w:rPr>
                <w:sz w:val="20"/>
                <w:szCs w:val="20"/>
                <w:color w:val="auto"/>
              </w:rPr>
            </w:pPr>
            <w:r>
              <w:rPr>
                <w:rFonts w:ascii="Arial" w:cs="Arial" w:eastAsia="Arial" w:hAnsi="Arial"/>
                <w:sz w:val="18"/>
                <w:szCs w:val="18"/>
                <w:color w:val="auto"/>
                <w:w w:val="96"/>
              </w:rPr>
              <w:t>Net book value of capitalized internally-developed software included in property and equipment, net</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00" w:type="dxa"/>
            <w:vAlign w:val="bottom"/>
            <w:tcBorders>
              <w:top w:val="single" w:sz="8" w:color="CCEEFF"/>
            </w:tcBorders>
            <w:gridSpan w:val="9"/>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60"/>
              <w:spacing w:after="0" w:line="204"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
              <w:spacing w:after="0" w:line="204" w:lineRule="exact"/>
              <w:rPr>
                <w:sz w:val="20"/>
                <w:szCs w:val="20"/>
                <w:color w:val="auto"/>
              </w:rPr>
            </w:pPr>
            <w:r>
              <w:rPr>
                <w:rFonts w:ascii="Arial" w:cs="Arial" w:eastAsia="Arial" w:hAnsi="Arial"/>
                <w:sz w:val="18"/>
                <w:szCs w:val="18"/>
                <w:color w:val="auto"/>
              </w:rPr>
              <w:t>230</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Depreciation of property and equipment and amortization of computer software was $388 million, $382 million and $370 million for the years ended December 31,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648970</wp:posOffset>
            </wp:positionV>
            <wp:extent cx="325755"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lease expense and gain realized on sale-leaseback transactions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lease cost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Amortization of leased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finance lease cost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xml:space="preserve">Gain recognized on sale-leaseback transactions </w:t>
            </w:r>
            <w:r>
              <w:rPr>
                <w:rFonts w:ascii="Arial" w:cs="Arial" w:eastAsia="Arial" w:hAnsi="Arial"/>
                <w:sz w:val="23"/>
                <w:szCs w:val="23"/>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360" w:type="dxa"/>
            <w:vAlign w:val="bottom"/>
            <w:gridSpan w:val="2"/>
            <w:vMerge w:val="continue"/>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660" w:right="40" w:hanging="328"/>
        <w:spacing w:after="0" w:line="286" w:lineRule="auto"/>
        <w:tabs>
          <w:tab w:leader="none" w:pos="648"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years ended December 31, 2021, 2020 and 2019, we completed multiple sale-leaseback transactions for land and buildings, including a sale and partial leaseback of our shared-services center in Portland, Oregon in 2019. We received aggregate cash proceeds of $96 million, $143 million and $199 million in 2021, 2020 and 2019, respectively. Gains on sale-leaseback transactions are included in Direct operating expense (exclusive of depreciation and amortization) in our Consolidated Statements of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Operating lease assets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4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Short-term operating lease liabilities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Finance leases: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Property and equipment, gross</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Property and equipment, net</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40" w:type="dxa"/>
            <w:vAlign w:val="bottom"/>
            <w:shd w:val="clear" w:color="auto" w:fill="CCEEFF"/>
          </w:tcPr>
          <w:p>
            <w:pPr>
              <w:spacing w:after="0"/>
              <w:rPr>
                <w:sz w:val="11"/>
                <w:szCs w:val="11"/>
                <w:color w:val="auto"/>
              </w:rPr>
            </w:pPr>
          </w:p>
        </w:tc>
        <w:tc>
          <w:tcPr>
            <w:tcW w:w="4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200" w:type="dxa"/>
            <w:vAlign w:val="bottom"/>
            <w:gridSpan w:val="5"/>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Total finance lease liabilities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8 years</w:t>
            </w:r>
          </w:p>
        </w:tc>
        <w:tc>
          <w:tcPr>
            <w:tcW w:w="6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6 years</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77</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2"/>
              </w:rPr>
              <w:t>Years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4"/>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24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Net operating lease activity, including the reduction of the operating lease asset and the accretion of the operating lease liability, are reflected in Depreciation, amortization and net lease activity on our Consolidated Statements of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 Leases</w:t>
            </w:r>
          </w:p>
        </w:tc>
        <w:tc>
          <w:tcPr>
            <w:tcW w:w="260" w:type="dxa"/>
            <w:vAlign w:val="bottom"/>
          </w:tcPr>
          <w:p>
            <w:pPr>
              <w:spacing w:after="0"/>
              <w:rPr>
                <w:sz w:val="16"/>
                <w:szCs w:val="16"/>
                <w:color w:val="auto"/>
              </w:rPr>
            </w:pPr>
          </w:p>
        </w:tc>
        <w:tc>
          <w:tcPr>
            <w:tcW w:w="1640" w:type="dxa"/>
            <w:vAlign w:val="bottom"/>
          </w:tcPr>
          <w:p>
            <w:pPr>
              <w:jc w:val="right"/>
              <w:ind w:right="332"/>
              <w:spacing w:after="0"/>
              <w:rPr>
                <w:sz w:val="20"/>
                <w:szCs w:val="20"/>
                <w:color w:val="auto"/>
              </w:rPr>
            </w:pPr>
            <w:r>
              <w:rPr>
                <w:rFonts w:ascii="Arial" w:cs="Arial" w:eastAsia="Arial" w:hAnsi="Arial"/>
                <w:sz w:val="14"/>
                <w:szCs w:val="14"/>
                <w:b w:val="1"/>
                <w:bCs w:val="1"/>
                <w:color w:val="auto"/>
              </w:rPr>
              <w:t>Operating Leases</w:t>
            </w:r>
          </w:p>
        </w:tc>
      </w:tr>
      <w:tr>
        <w:trPr>
          <w:trHeight w:val="229"/>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2021, we had additional operating leases that have not yet commenced with future undiscounted lease payments of $11 million. These operating leases will commence in 2022 with initial lease terms of 3 years to 7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 American LTL</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Brokerage and Other</w:t>
            </w:r>
          </w:p>
        </w:tc>
        <w:tc>
          <w:tcPr>
            <w:tcW w:w="36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Impact of foreign exchange translation and other</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30"/>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Impact of foreign exchange translation and other</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as of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cumulative goodwill impairments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7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Gross Carrying Amount</w:t>
            </w:r>
          </w:p>
        </w:tc>
        <w:tc>
          <w:tcPr>
            <w:tcW w:w="1220" w:type="dxa"/>
            <w:vAlign w:val="bottom"/>
          </w:tcPr>
          <w:p>
            <w:pPr>
              <w:ind w:left="3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136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Definite-lived intangibles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0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20"/>
                <w:szCs w:val="20"/>
                <w:color w:val="auto"/>
              </w:rPr>
            </w:pPr>
          </w:p>
        </w:tc>
        <w:tc>
          <w:tcPr>
            <w:tcW w:w="1220" w:type="dxa"/>
            <w:vAlign w:val="bottom"/>
          </w:tcPr>
          <w:p>
            <w:pPr>
              <w:jc w:val="right"/>
              <w:ind w:right="1042"/>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612</w:t>
            </w:r>
          </w:p>
        </w:tc>
        <w:tc>
          <w:tcPr>
            <w:tcW w:w="12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did not recognize any impairment of our identified intangible assets in 2021 and 2020. We recorded a non-cash, pre-tax charge of $6 million in 2019 related to the impairment of customer relationships intangibles associated with exiting our direct postal injection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$86 million, $87 million and $96 million for the years ended December 31, 2021, 2020 and 2019,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December 31, 2021</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80" w:type="dxa"/>
            <w:vAlign w:val="bottom"/>
          </w:tcPr>
          <w:p>
            <w:pPr>
              <w:spacing w:after="0"/>
              <w:rPr>
                <w:sz w:val="10"/>
                <w:szCs w:val="10"/>
                <w:color w:val="auto"/>
              </w:rPr>
            </w:pPr>
          </w:p>
        </w:tc>
        <w:tc>
          <w:tcPr>
            <w:tcW w:w="172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gridSpan w:val="3"/>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8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gridSpan w:val="5"/>
            <w:shd w:val="clear" w:color="auto" w:fill="CCEEFF"/>
          </w:tcPr>
          <w:p>
            <w:pPr>
              <w:jc w:val="center"/>
              <w:ind w:right="30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0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102"/>
              <w:spacing w:after="0"/>
              <w:rPr>
                <w:sz w:val="20"/>
                <w:szCs w:val="20"/>
                <w:color w:val="auto"/>
              </w:rPr>
            </w:pPr>
            <w:r>
              <w:rPr>
                <w:rFonts w:ascii="Arial" w:cs="Arial" w:eastAsia="Arial" w:hAnsi="Arial"/>
                <w:sz w:val="18"/>
                <w:szCs w:val="18"/>
                <w:color w:val="FFFFFF"/>
              </w:rPr>
              <w:t>79</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December 31, 2020</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1"/>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and nonderivative instruments designated as hedges on our Consolidated Statements of Income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Amount of Gain (Loss) Recognized in</w:t>
            </w:r>
          </w:p>
        </w:tc>
        <w:tc>
          <w:tcPr>
            <w:tcW w:w="100" w:type="dxa"/>
            <w:vAlign w:val="bottom"/>
          </w:tcPr>
          <w:p>
            <w:pPr>
              <w:spacing w:after="0"/>
              <w:rPr>
                <w:sz w:val="14"/>
                <w:szCs w:val="14"/>
                <w:color w:val="auto"/>
              </w:rPr>
            </w:pPr>
          </w:p>
        </w:tc>
        <w:tc>
          <w:tcPr>
            <w:tcW w:w="2380" w:type="dxa"/>
            <w:vAlign w:val="bottom"/>
            <w:gridSpan w:val="8"/>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 of Gain (Loss) Reclassified</w:t>
            </w:r>
          </w:p>
        </w:tc>
        <w:tc>
          <w:tcPr>
            <w:tcW w:w="160" w:type="dxa"/>
            <w:vAlign w:val="bottom"/>
          </w:tcPr>
          <w:p>
            <w:pPr>
              <w:spacing w:after="0"/>
              <w:rPr>
                <w:sz w:val="14"/>
                <w:szCs w:val="14"/>
                <w:color w:val="auto"/>
              </w:rPr>
            </w:pPr>
          </w:p>
        </w:tc>
        <w:tc>
          <w:tcPr>
            <w:tcW w:w="2200" w:type="dxa"/>
            <w:vAlign w:val="bottom"/>
            <w:gridSpan w:val="7"/>
          </w:tcPr>
          <w:p>
            <w:pPr>
              <w:jc w:val="center"/>
              <w:ind w:right="81"/>
              <w:spacing w:after="0"/>
              <w:rPr>
                <w:sz w:val="20"/>
                <w:szCs w:val="20"/>
                <w:color w:val="auto"/>
              </w:rPr>
            </w:pPr>
            <w:r>
              <w:rPr>
                <w:rFonts w:ascii="Arial" w:cs="Arial" w:eastAsia="Arial" w:hAnsi="Arial"/>
                <w:sz w:val="14"/>
                <w:szCs w:val="14"/>
                <w:b w:val="1"/>
                <w:bCs w:val="1"/>
                <w:color w:val="auto"/>
                <w:w w:val="92"/>
              </w:rPr>
              <w:t>Amount of Gain Recognized in</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9"/>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 Income (Loss)</w:t>
            </w:r>
          </w:p>
        </w:tc>
        <w:tc>
          <w:tcPr>
            <w:tcW w:w="10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gridSpan w:val="7"/>
          </w:tcPr>
          <w:p>
            <w:pPr>
              <w:jc w:val="center"/>
              <w:ind w:right="81"/>
              <w:spacing w:after="0" w:line="135" w:lineRule="exact"/>
              <w:rPr>
                <w:sz w:val="20"/>
                <w:szCs w:val="20"/>
                <w:color w:val="auto"/>
              </w:rPr>
            </w:pPr>
            <w:r>
              <w:rPr>
                <w:rFonts w:ascii="Arial" w:cs="Arial" w:eastAsia="Arial" w:hAnsi="Arial"/>
                <w:sz w:val="14"/>
                <w:szCs w:val="14"/>
                <w:b w:val="1"/>
                <w:bCs w:val="1"/>
                <w:color w:val="auto"/>
                <w:w w:val="94"/>
              </w:rPr>
              <w:t>Income on Derivative (Amount</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on Derivatives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6"/>
              </w:rPr>
              <w:t>from AOCI into Net Income</w:t>
            </w: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Excluded from Effectiveness Testing)</w:t>
            </w: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100"/>
              <w:spacing w:after="0"/>
              <w:rPr>
                <w:sz w:val="20"/>
                <w:szCs w:val="20"/>
                <w:color w:val="auto"/>
              </w:rPr>
            </w:pPr>
            <w:r>
              <w:rPr>
                <w:rFonts w:ascii="Arial" w:cs="Arial" w:eastAsia="Arial" w:hAnsi="Arial"/>
                <w:sz w:val="16"/>
                <w:szCs w:val="16"/>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center"/>
              <w:ind w:left="161"/>
              <w:spacing w:after="0"/>
              <w:rPr>
                <w:sz w:val="20"/>
                <w:szCs w:val="20"/>
                <w:color w:val="auto"/>
              </w:rPr>
            </w:pPr>
            <w:r>
              <w:rPr>
                <w:rFonts w:ascii="Arial" w:cs="Arial" w:eastAsia="Arial" w:hAnsi="Arial"/>
                <w:sz w:val="16"/>
                <w:szCs w:val="16"/>
                <w:color w:val="auto"/>
                <w:w w:val="98"/>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rate swaps</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9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Derivatives designated as net investment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360"/>
              <w:spacing w:after="0"/>
              <w:rPr>
                <w:sz w:val="20"/>
                <w:szCs w:val="20"/>
                <w:color w:val="auto"/>
              </w:rPr>
            </w:pPr>
            <w:r>
              <w:rPr>
                <w:rFonts w:ascii="Arial" w:cs="Arial" w:eastAsia="Arial" w:hAnsi="Arial"/>
                <w:sz w:val="16"/>
                <w:szCs w:val="16"/>
                <w:color w:val="auto"/>
              </w:rPr>
              <w:t>hedges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Cross-currency swap agreements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center"/>
              <w:ind w:left="161"/>
              <w:spacing w:after="0"/>
              <w:rPr>
                <w:sz w:val="20"/>
                <w:szCs w:val="20"/>
                <w:color w:val="auto"/>
              </w:rPr>
            </w:pPr>
            <w:r>
              <w:rPr>
                <w:rFonts w:ascii="Arial" w:cs="Arial" w:eastAsia="Arial" w:hAnsi="Arial"/>
                <w:sz w:val="16"/>
                <w:szCs w:val="16"/>
                <w:color w:val="auto"/>
                <w:w w:val="98"/>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loss of $1 million, a gain of $1 million and a loss of $9 million for the years ended December 31, 2021, 2020 and 2019, respectively. These amounts are recorded in Foreign currency (gain) loss on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 In 2021, in preparation for the spin-off, we novated (or transferred) cross-currency swaps that were recorded as a liability with a fair value of approximately $28 million to GXO, as well as the associated amounts in AOCI.</w:t>
      </w:r>
    </w:p>
    <w:p>
      <w:pPr>
        <w:spacing w:after="0" w:line="10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331470</wp:posOffset>
            </wp:positionV>
            <wp:extent cx="325755"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recognized in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Cash flows from operating activities of continuing operations on our Consolidated Statements of Cash Flows.</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Prior to the spin-off, we entered into cross-currency swap agreements to manage the related foreign currency exposure from intercompany loans. We designated these cross-currency swaps as qualifying hedging instruments and accounted for them as cash flow hedges. Gains and losses resulting from the change in the fair value of the cross-currency swaps was initially recognized in AOCI and reclassified to Foreign currency (gain) loss to offset the foreign exchange impact in earnings created by settling intercompany loans. Cash flows related to these cash flow hedges was included in Cash flows from operating activities of continuing operations on our Consolidated Statements of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outstanding interest rate swaps mature in 2022.</w:t>
      </w:r>
    </w:p>
    <w:p>
      <w:pPr>
        <w:spacing w:after="0" w:line="13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Cash flows from operating activities of continuing operations on our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periodically use foreign currency option contracts to mitigate the risk of a reduction in the value of earnings from our operations that use the EUR or the British pound sterling as their functional currency. Additionally, we periodically use foreign currency forward contracts to mitigate exposure from intercompany loans that are not designated as permanent and can create volatility in earnings. Generally, the foreign currency contracts (both option and forward contracts) are not designated as qualifying hedging instruments. The contracts are used to manage our exposure to foreign currency exchange rate fluctuations and are not speculative. The contracts generally expire in 12 months or less. We had no outstanding contracts as of December 31, 2021 and December 31, 2020. Gains or losses on the contracts are recorded in Foreign currency (gain) loss on our Consolidated Statements of Income. Cash flows related to the foreign currency contracts are included in Cash flows from investing activities of continuing operations on our Consolidated Statements of Cash Flows, consistent with the nature and purpose for which these derivatives were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636905</wp:posOffset>
            </wp:positionV>
            <wp:extent cx="32575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December 31, 2021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Principal</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09"/>
        </w:trPr>
        <w:tc>
          <w:tcPr>
            <w:tcW w:w="6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Balance</w:t>
            </w:r>
          </w:p>
        </w:tc>
        <w:tc>
          <w:tcPr>
            <w:tcW w:w="120" w:type="dxa"/>
            <w:vAlign w:val="bottom"/>
            <w:vMerge w:val="restart"/>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Balance</w:t>
            </w:r>
          </w:p>
        </w:tc>
        <w:tc>
          <w:tcPr>
            <w:tcW w:w="120" w:type="dxa"/>
            <w:vAlign w:val="bottom"/>
            <w:vMerge w:val="restart"/>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2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Term loan facilities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6.50% Senior notes due 2022</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6.125% Senior notes due 2023</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6.75% Senior notes due 2024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6.25% Senior notes due 2025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6.70% Senior debentures due 2034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Borrowings related to securitization program</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leases, asset financing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6,521</w:t>
            </w:r>
          </w:p>
        </w:tc>
        <w:tc>
          <w:tcPr>
            <w:tcW w:w="0" w:type="dxa"/>
            <w:vAlign w:val="bottom"/>
          </w:tcPr>
          <w:p>
            <w:pPr>
              <w:spacing w:after="0"/>
              <w:rPr>
                <w:sz w:val="1"/>
                <w:szCs w:val="1"/>
                <w:color w:val="auto"/>
              </w:rPr>
            </w:pPr>
          </w:p>
        </w:tc>
      </w:tr>
      <w:tr>
        <w:trPr>
          <w:trHeight w:val="20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Level 2</w:t>
            </w:r>
          </w:p>
        </w:tc>
      </w:tr>
      <w:tr>
        <w:trPr>
          <w:trHeight w:val="22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4,429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2,479</w:t>
            </w:r>
          </w:p>
        </w:tc>
      </w:tr>
    </w:tbl>
    <w:p>
      <w:pPr>
        <w:spacing w:after="0" w:line="22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2015, we entered into the ABL Facility that provided commitments of up to $1.0 billion with a maturity date of October 30, 2020. In April 2019, we amended the ABL Facility including: (i) increasing the commitments to $1.1 billion, (ii) extending the maturity date to April 30, 2024, subject to springing maturity if some of our senior notes reach specified levels set in the credit agreement and (iii) reducing the interest rate margin. In July 2021, we amended the ABL Facility to reduce the commitments from $1.1 billion to $1.0 billion. There were no other significant changes made to the terms of the facility. We can issue up to $350 million of letters of credit under the ABL Facility.</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availability under the ABL Facility is equal to the borrowing base less advances and outstanding letters of credit. Our borrowing base includes a fixed percentage of: (i) our eligible U.S. and Canadian accounts receivable; plus (ii) any of our eligible U.S. and Canadian rolling stock and equipment. A maximum of 20% of our borrowing base can be equipment and rolling stock in the aggregate. As of December 31, 2021, our borrowing base was $1.0 billion and our availability was $995 million after considering outstanding letters of credit of $5 million. As of December 31, 2021, we were in compliance with the ABL Facility’s 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325755</wp:posOffset>
            </wp:positionV>
            <wp:extent cx="325755"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loans under the ABL Facility bear interest at a rate equal to: LIBOR or base rate plus (i) an applicable margin of 1.25% to 1.50% for LIBOR loans or (ii) 0.25% to 0.50%, for base rate loans.</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ABL Facility is secured on a first lien basis by the assets of the credit parties as priority collateral and on a second lien basis by certain other assets. The priority collateral consists primarily of our U.S. and Canadian accounts receivable and any of our U.S. and Canadian rolling stock and equipment included in our borrowing base. The ABL Facility contains representations and warranties, affirmative and negative covenants, and events of default customary for agreements of this nature.</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covenants in the ABL Facility can limit our ability to incur indebtedness; grant liens; engage in certain mergers, consolidations, acquisitions and dispositions; make certain investments and restricted payments; and enter into certain transactions with affiliates. We may also be required to maintain a Fixed Charge Coverage Ratio (as defined in the ABL Facility) of not less than 1.00 if availability under the ABL Facility is below certain thresholds. As of December 31, 2021, we were compliant with this financial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Facility</w:t>
      </w:r>
    </w:p>
    <w:p>
      <w:pPr>
        <w:spacing w:after="0" w:line="17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 2020, we entered into a $200 million uncommitted secured evergreen letter of credit facility. The letter of credit facility had an initial one-year term, which automatically renewed for an additional year, and may automatically renew with one-year terms until the letter of credit facility terminates. As of December 31, 2021, we have issued $198 million in aggregate face amount of letters of credit under the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2015, we entered into a Term Loan Credit Agreement that provided for a single borrowing of $1.6 billion. We amended the Term Loan Credit Agreement in 2019 to include a new tranche of term loans (the “Incremental Term Loan Facility”), to reduce the interest rates and to extend the maturity dates. Net proceeds from borrowings under the Incremental Term Loan Facility were used for general corporate purposes, including to fund purchases of our common stock described in Note 14—Stockholders’ Equity. The loans under the Incremental Term Loan Facility were issued at a price of 99.50% of par. In 2021, we amended the Term Loan Credit Agreement to consolidate our tranches and lower the interest rate. The applicable terms of the Term Loan Credit Agreement, as amended,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 2020</w:t>
            </w:r>
          </w:p>
        </w:tc>
        <w:tc>
          <w:tcPr>
            <w:tcW w:w="1840" w:type="dxa"/>
            <w:vAlign w:val="bottom"/>
            <w:tcBorders>
              <w:bottom w:val="single" w:sz="8" w:color="auto"/>
            </w:tcBorders>
          </w:tcPr>
          <w:p>
            <w:pPr>
              <w:spacing w:after="0"/>
              <w:rPr>
                <w:sz w:val="16"/>
                <w:szCs w:val="16"/>
                <w:color w:val="auto"/>
              </w:rPr>
            </w:pPr>
          </w:p>
        </w:tc>
      </w:tr>
      <w:tr>
        <w:trPr>
          <w:trHeight w:val="188"/>
        </w:trPr>
        <w:tc>
          <w:tcPr>
            <w:tcW w:w="3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21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 2021</w:t>
            </w:r>
          </w:p>
        </w:tc>
        <w:tc>
          <w:tcPr>
            <w:tcW w:w="460" w:type="dxa"/>
            <w:vAlign w:val="bottom"/>
          </w:tcPr>
          <w:p>
            <w:pPr>
              <w:spacing w:after="0"/>
              <w:rPr>
                <w:sz w:val="16"/>
                <w:szCs w:val="16"/>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b w:val="1"/>
                <w:bCs w:val="1"/>
                <w:color w:val="auto"/>
              </w:rPr>
              <w:t>First Tranche</w:t>
            </w:r>
          </w:p>
        </w:tc>
        <w:tc>
          <w:tcPr>
            <w:tcW w:w="640" w:type="dxa"/>
            <w:vAlign w:val="bottom"/>
          </w:tcPr>
          <w:p>
            <w:pPr>
              <w:spacing w:after="0"/>
              <w:rPr>
                <w:sz w:val="16"/>
                <w:szCs w:val="16"/>
                <w:color w:val="auto"/>
              </w:rPr>
            </w:pPr>
          </w:p>
        </w:tc>
        <w:tc>
          <w:tcPr>
            <w:tcW w:w="1840" w:type="dxa"/>
            <w:vAlign w:val="bottom"/>
          </w:tcPr>
          <w:p>
            <w:pPr>
              <w:jc w:val="right"/>
              <w:ind w:right="654"/>
              <w:spacing w:after="0"/>
              <w:rPr>
                <w:sz w:val="20"/>
                <w:szCs w:val="20"/>
                <w:color w:val="auto"/>
              </w:rPr>
            </w:pPr>
            <w:r>
              <w:rPr>
                <w:rFonts w:ascii="Arial" w:cs="Arial" w:eastAsia="Arial" w:hAnsi="Arial"/>
                <w:sz w:val="14"/>
                <w:szCs w:val="14"/>
                <w:b w:val="1"/>
                <w:bCs w:val="1"/>
                <w:color w:val="auto"/>
                <w:w w:val="99"/>
              </w:rPr>
              <w:t>Second Tranche</w:t>
            </w:r>
          </w:p>
        </w:tc>
      </w:tr>
      <w:tr>
        <w:trPr>
          <w:trHeight w:val="224"/>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Interest spread:</w:t>
            </w:r>
          </w:p>
        </w:tc>
        <w:tc>
          <w:tcPr>
            <w:tcW w:w="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 rate loans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LIBOR loans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3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7"/>
              </w:rPr>
              <w:t>February 2025</w:t>
            </w:r>
          </w:p>
        </w:tc>
        <w:tc>
          <w:tcPr>
            <w:tcW w:w="4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February 2025</w:t>
            </w: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2025</w:t>
            </w: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recorded a debt extinguishment loss of $3 million in 2021 due to this amendment. The interest rate on our term loan facility was 1.85% as of December 31, 2021.</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must prepay an aggregate principal amount of the term loan facility equal to (a) 50% of any Excess Cash Flow, as defined in the agreement, for the most recent fiscal year ended, minus (b) the sum of (i) all voluntary prepayments of loans during the fiscal year and (ii) all voluntary prepayments of loans under the ABL Facility or any other revolving credit facilities during the fiscal year if accompanied by a corresponding permanent reduction in the commitments under the credit agreement or any other revolving credit facilities in the case of each of the immediately preceding clauses (i) and (ii), if such prepayments are funded with internally generated cash flow, as defined in the agreement. If our Consolidated Secured Net Leverage Ratio, as defined in the agreement, for the fiscal year was less than or equal to 3.00:1.00 and greater than 2.50:1.00, the Excess Cash Flow percentage will be 25%. If our Consolidated Secured Net Leverage Ratio for the fiscal year was less than or equal to 2.50:1.00, the Excess Cash Flow percentage will be 0%. The remaining principal is due at maturity. As of December 31, 2021, our Consolidated Secured Net Leverage Ratio was less than 2.50:1.00, and no excess cash payment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330835</wp:posOffset>
            </wp:positionV>
            <wp:extent cx="325755"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redeemed our outstanding 6.125% senior notes due 2023 (“Senior Notes due 2023”) and our outstanding 6.75% senior notes due 2024 (“Senior Notes due 2024”). The Senior Notes due 2024 were originally issued in 2019 and the proceeds were used to repay our outstanding obligation under the Unsecured Credit Facility described below and to finance a portion of our share repurchases described in Note 14—Stockholders’ Equity. The redemption price for the Senior Notes due 2023 was 100.0% of the principal amount, plus accrued and unpaid interest and the redemption price for the Senior Notes due 2024 was 103.375% of the principle amount, plus accrued and unpaid interest. We paid for the redemption using cash received from GXO of approximately $794 million, proceeds from an equity offering described in Note 14—Stockholders’ Equity and available cash. We recorded debt extinguishment losses of $3 million and $43 million in 2021 related to the redemption of the Senior Notes due 2023 and Senior Notes due 2024, respectively.</w:t>
      </w:r>
    </w:p>
    <w:p>
      <w:pPr>
        <w:spacing w:after="0" w:line="13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January 2021, we redeemed our outstanding 6.50% senior notes due 2022 (“Senior Notes due 2022”) that were originally issued in 2015. The redemption price for the notes was 100.0% of the principal amount, plus accrued and unpaid interest. We paid for the redemption with available cash, including the net proceeds from the issuance of our 6.25% senior notes due 2025 (“Senior Notes due 2025”) as described below. We recorded a debt extinguishment loss of $5 million in 2021 due to this redemption.</w:t>
      </w:r>
    </w:p>
    <w:p>
      <w:pPr>
        <w:spacing w:after="0" w:line="13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2020, we completed private placements of $1.15 billion aggregate principal amount of Senior Notes due 2025. The Senior Notes due 2025 mature on May 1, 2025 and bear interest at a rate of 6.25% per annum. Interest on the notes is paid semi-annually. A total of $850 million of the notes were issued at par, and $300 million of the notes were issued subsequently at 101.75% of face value. Net proceeds from the notes were initially invested in cash and cash equivalents and were subsequently used in 2021 to redeem our outstanding Senior Notes due 2022 as described above.</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senior notes are guaranteed by each of our direct and indirect wholly-owned restricted subsidiaries (other than some excluded subsidiaries) that are obligors under, or guarantee obligations under, our ABL Facility or existing Term Loan facility or guarantee certain of our capital markets indebtedness or any guarantor of the senior notes. The senior notes and its guarantees are unsecured, unsubordinated indebtedness for us and our guarantors. The senior notes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Debentures</w:t>
      </w:r>
    </w:p>
    <w:p>
      <w:pPr>
        <w:spacing w:after="0" w:line="17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assumed in conjunction with an acquisition 6.70% Senior Debentures due 2034 (the “Senior Debentures”) with an aggregate principal amount of $300 million. The Senior Debentures bear interest payable semiannually, in cash in arrears, and mature on May 1, 2034. Including amortization of the fair value adjustment recorded on the acquisition date, interest expense on the Senior Debentures is recognized at an annual effective interest rate of 10.96%.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2—Basis of Presentation and Significant Accounting Policies, our European business participates in a trade receivables securitization program. The program contains financial covenants customary for this type of arrangement, including maintaining a defined average days sales outstanding ratio.</w:t>
      </w:r>
    </w:p>
    <w:p>
      <w:pPr>
        <w:spacing w:after="0" w:line="13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We had no such borrowings outstanding as of December 31, 2021 and had borrowings of €20 million ($24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558165</wp:posOffset>
            </wp:positionV>
            <wp:extent cx="325755"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December 2018, we entered into a $500 million unsecured credit facility (“Unsecured Credit Facility”). As of December 31, 2018, we had borrowed $250 million under the Unsecured Credit Facility. We borrowed an additional $250 million in January 2019. We used the proceeds of both borrowings to finance a portion of our share repurchases described in Note 14—Stockholders’ Equity. In connection with the issuance of the Senior Notes due 2024 described above, we repaid our outstanding obligations under the Unsecured Credit Facility and terminated it in February 2019. We recorded a debt extinguishment loss of $5 million in 2019 in connection with this repayment.</w:t>
      </w:r>
    </w:p>
    <w:p>
      <w:pPr>
        <w:spacing w:after="0" w:line="238" w:lineRule="exact"/>
        <w:rPr>
          <w:sz w:val="20"/>
          <w:szCs w:val="20"/>
          <w:color w:val="auto"/>
        </w:rPr>
      </w:pPr>
    </w:p>
    <w:p>
      <w:pPr>
        <w:ind w:right="8920" w:firstLine="8"/>
        <w:spacing w:after="0" w:line="495" w:lineRule="auto"/>
        <w:tabs>
          <w:tab w:leader="none" w:pos="27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Benefit Pension Plans</w:t>
      </w:r>
    </w:p>
    <w:p>
      <w:pPr>
        <w:spacing w:after="0" w:line="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sponsor both funded and unfunded defined benefit pension plans for some employees in the U.S.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Prior to the spin-off of GXO, the pension plan for some employees in the United Kingdom was sold to a GXO entity and GXO paid approximately £26 million (approximately $34 million) to XPO, which represented the value of the net assets at the date of the sale. In connection with this transaction, approximately $82 million of accumulated other comprehensive income, net of tax, was transferred to GXO. We also maintain defined benefit pension plans for some of our foreign subsidiaries that are excluded from the disclosures below due to their immateriality. The information below excludes the results of the pension plan that was sold to GXO.</w:t>
      </w:r>
    </w:p>
    <w:p>
      <w:pPr>
        <w:spacing w:after="0" w:line="11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measure defined benefit pension plan obligations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We determine the net periodic benefit costs using assumptions regarding the projected benefit obligation and the fair value of plan assets as of the beginning of the year. Net periodic benefit costs are recorded in Other income on our Consolidated Statements of Income. We calculate the funded status of the defined benefit pension plans, which represents the difference between the projected benefit obligation and the fair value of plan assets, on a plan-by-plan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 of Defined Benefit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changes in the plans’ projected benefit obligations as of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15"/>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Projected benefit obligation at beginning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w:t>
            </w:r>
          </w:p>
        </w:tc>
      </w:tr>
      <w:tr>
        <w:trPr>
          <w:trHeight w:val="213"/>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Actuarial (gain)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actuarial gain in 2021 was a result of assumption changes, including an increase in the discount rate, updated mortality projection scales and other assumptions for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changes in the fair value of plan assets as of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213"/>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9"/>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Employer contributions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plans as of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Funded status at end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Amount recognized in balance sheet: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2"/>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Net pension asset recognized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Plans with projected and accumulated benefit obligation in excess of plan 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73"/>
        </w:trPr>
        <w:tc>
          <w:tcPr>
            <w:tcW w:w="8680" w:type="dxa"/>
            <w:vAlign w:val="bottom"/>
            <w:gridSpan w:val="2"/>
          </w:tcPr>
          <w:p>
            <w:pPr>
              <w:ind w:left="180"/>
              <w:spacing w:after="0"/>
              <w:rPr>
                <w:sz w:val="20"/>
                <w:szCs w:val="20"/>
                <w:color w:val="auto"/>
              </w:rPr>
            </w:pPr>
            <w:r>
              <w:rPr>
                <w:rFonts w:ascii="Arial" w:cs="Arial" w:eastAsia="Arial" w:hAnsi="Arial"/>
                <w:sz w:val="16"/>
                <w:szCs w:val="16"/>
                <w:color w:val="auto"/>
              </w:rPr>
              <w:t xml:space="preserve">Projected and accumulated benefit obligation </w:t>
            </w:r>
            <w:r>
              <w:rPr>
                <w:rFonts w:ascii="Arial" w:cs="Arial" w:eastAsia="Arial" w:hAnsi="Arial"/>
                <w:sz w:val="21"/>
                <w:szCs w:val="21"/>
                <w:color w:val="auto"/>
                <w:vertAlign w:val="superscript"/>
              </w:rPr>
              <w:t>(1)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11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Relates to our non-qualified plans which are unfunded.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our qualified plans and non-qualified plans was $156 million and $(72) million, respectively, as of December 31, 2021.</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actuarial loss included in AOCI that has not yet been recognized in net periodic benefit expense was $43 million and $50 million, respectively, as of December 31,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net periodic benefit cost and amounts recognized in Other comprehensive income (loss) for the years ended December 31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periodic benefit (income) expense: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Interest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300"/>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98"/>
              </w:rPr>
              <w:t>(90)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Amortization of actuarial loss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8"/>
        </w:trPr>
        <w:tc>
          <w:tcPr>
            <w:tcW w:w="84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Net periodic benefit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center"/>
              <w:ind w:left="260"/>
              <w:spacing w:after="0"/>
              <w:rPr>
                <w:sz w:val="20"/>
                <w:szCs w:val="20"/>
                <w:color w:val="auto"/>
              </w:rPr>
            </w:pPr>
            <w:r>
              <w:rPr>
                <w:rFonts w:ascii="Arial" w:cs="Arial" w:eastAsia="Arial" w:hAnsi="Arial"/>
                <w:sz w:val="16"/>
                <w:szCs w:val="16"/>
                <w:color w:val="auto"/>
                <w:w w:val="98"/>
              </w:rPr>
              <w:t>(24)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Amounts recognized in Other comprehensive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Actuarial (gain)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98"/>
              </w:rPr>
              <w:t>(49)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Reclassification of recognized AOCI gain due to settlements</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8"/>
        </w:trPr>
        <w:tc>
          <w:tcPr>
            <w:tcW w:w="84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(Gain) loss recognized in Other comprehensive income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center"/>
              <w:ind w:left="260"/>
              <w:spacing w:after="0"/>
              <w:rPr>
                <w:sz w:val="20"/>
                <w:szCs w:val="20"/>
                <w:color w:val="auto"/>
              </w:rPr>
            </w:pPr>
            <w:r>
              <w:rPr>
                <w:rFonts w:ascii="Arial" w:cs="Arial" w:eastAsia="Arial" w:hAnsi="Arial"/>
                <w:sz w:val="16"/>
                <w:szCs w:val="16"/>
                <w:color w:val="auto"/>
                <w:w w:val="98"/>
              </w:rPr>
              <w:t>(49)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weighted-average assumptions used to determine the net periodic benefit costs and benefit obligations for the year ended December 31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Qualified Plans</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Non-Qualified Plans</w:t>
            </w:r>
          </w:p>
        </w:tc>
        <w:tc>
          <w:tcPr>
            <w:tcW w:w="1380" w:type="dxa"/>
            <w:vAlign w:val="bottom"/>
            <w:tcBorders>
              <w:bottom w:val="single" w:sz="8" w:color="auto"/>
            </w:tcBorders>
          </w:tcPr>
          <w:p>
            <w:pPr>
              <w:spacing w:after="0"/>
              <w:rPr>
                <w:sz w:val="16"/>
                <w:szCs w:val="16"/>
                <w:color w:val="auto"/>
              </w:rPr>
            </w:pPr>
          </w:p>
        </w:tc>
      </w:tr>
      <w:tr>
        <w:trPr>
          <w:trHeight w:val="187"/>
        </w:trPr>
        <w:tc>
          <w:tcPr>
            <w:tcW w:w="3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211"/>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 - net periodic benefit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- 1.71%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 - 2.78%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- 3.95%</w:t>
            </w:r>
          </w:p>
        </w:tc>
      </w:tr>
      <w:tr>
        <w:trPr>
          <w:trHeight w:val="213"/>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Discount rate - benefit obligations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2.84 %</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 - 2.72%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 - 2.30%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 - 3.20%</w:t>
            </w:r>
          </w:p>
        </w:tc>
      </w:tr>
      <w:tr>
        <w:trPr>
          <w:trHeight w:val="21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long-term rate of return on plan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 rate of compensation increase was assumed as the plans are frozen to additional participant benefit accruals.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Expected benefit payments for the defined benefit pension plans for the years ended December 31 are summarized below. These estimates are based on assumptions about future events. Actual benefit payments may vary from these estimates.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2027-2030</w:t>
            </w:r>
          </w:p>
        </w:tc>
      </w:tr>
      <w:tr>
        <w:trPr>
          <w:trHeight w:val="229"/>
        </w:trPr>
        <w:tc>
          <w:tcPr>
            <w:tcW w:w="2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Expected benefit payments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manage the assets in the U.S. plans using a long-term liability-driven investment strategy that seeks to mitigate the funded status volatility by increasing participation in fixed income investments as the plan’s funded status increases. We developed this strategy by analyzing a variety of diversified asset-class combinations with the projected liabilities.</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current investment strategy is to achieve an investment mix of approximately 88% in fixed income securities and 12% of investments in equity securities. The fixed income allocation consists primarily of domestic fixed income securities and targets to hedge more than 95% of domestic projected liabilities. The target allocations for equity securities includes approximately 50% in U.S. equities and approximately 50% in non-U.S. equities. Investments in equity and fixed income securities consist of individual securities held in managed separate accounts and commingled investment funds. Generally, our investment strategy does not include an allocation to cash and cash equivalents, but a cash allocation may arise periodically in response to timing considerations regarding contributions, investments, and the payment of benefits and eligible plan expenses. We periodically evaluate our defined benefit plans’ asset portfolios for significant concentrations of risk. Types of investment concentration risks that are evaluated include concentrations in a single issuer, specific security, asset class, credit rating, duration, industry/sector, currency, foreign country or individual fund manager. As of December 31, 2021, our defined benefit plan assets had no significant concentrations of risk.</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investment policy does not allow investment managers to use market-timing strategies or financial derivative instruments for speculative purposes but financial derivative instruments are used to manage risk and achieve stated investment objectives for duration, yield curve, credit, foreign exchange and equity exposures. Generally, our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103"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The assumption of 5.00% for the overall expected long-term rate of return on plan assets in 2021 was developed using asset allocation and return expectations. The return expectations are created using long-term historical and expected returns for the various asset classes and current market expectations for inflation, interest rates and economic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331470</wp:posOffset>
            </wp:positionV>
            <wp:extent cx="32575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values of investments held in the qualified pension plans by major asset category as of December 31, 2021 and 2020, and the percentage that each asset category comprises of total plan assets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Not Subject</w:t>
            </w:r>
          </w:p>
        </w:tc>
        <w:tc>
          <w:tcPr>
            <w:tcW w:w="26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5"/>
              </w:rPr>
              <w:t>Percentage of Plan</w:t>
            </w:r>
          </w:p>
        </w:tc>
        <w:tc>
          <w:tcPr>
            <w:tcW w:w="0" w:type="dxa"/>
            <w:vAlign w:val="bottom"/>
          </w:tcPr>
          <w:p>
            <w:pPr>
              <w:spacing w:after="0"/>
              <w:rPr>
                <w:sz w:val="1"/>
                <w:szCs w:val="1"/>
                <w:color w:val="auto"/>
              </w:rPr>
            </w:pPr>
          </w:p>
        </w:tc>
      </w:tr>
      <w:tr>
        <w:trPr>
          <w:trHeight w:val="189"/>
        </w:trPr>
        <w:tc>
          <w:tcPr>
            <w:tcW w:w="4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6"/>
              </w:rPr>
              <w:t xml:space="preserve">to Leveling </w:t>
            </w:r>
            <w:r>
              <w:rPr>
                <w:rFonts w:ascii="Arial" w:cs="Arial" w:eastAsia="Arial" w:hAnsi="Arial"/>
                <w:sz w:val="18"/>
                <w:szCs w:val="18"/>
                <w:b w:val="1"/>
                <w:bCs w:val="1"/>
                <w:color w:val="auto"/>
                <w:w w:val="86"/>
                <w:vertAlign w:val="superscript"/>
              </w:rPr>
              <w:t>(1)</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00" w:type="dxa"/>
            <w:vAlign w:val="bottom"/>
          </w:tcPr>
          <w:p>
            <w:pPr>
              <w:jc w:val="right"/>
              <w:ind w:right="37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 fund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large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U.S. small companies</w:t>
            </w: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Short-term investment fund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U.S. large companies</w:t>
            </w: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small companies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312" w:lineRule="auto"/>
        <w:tabs>
          <w:tab w:leader="none" w:pos="648"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periods ended December 31, 2021 and 2020, we had no investments held in the pension plans within Level 3 of the fair value hierarchy. Our common stock was not a plan asset as of December 31, 2021 or 2020. The non-qualified plans are unfunded.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funding practice is to evaluate our tax and cash position, and the funded status of our plans, in determining our planned contributions. We estimate that we will contribute $5 million to our non-qualified plans in 2022 but this could change based on variations in interest rates, asset returns and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costs for defined contribution retirement plans were $60 million, $57 million and $57 million for the years ended December 31, 2021, 2020 and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provide health benefits through a postretirement medical plan for eligible employees hired before 1993 (the “Postretirement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572135</wp:posOffset>
            </wp:positionV>
            <wp:extent cx="325755"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 of Postretirement Medical Plan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reconciliation of the changes in the plan’s benefit obligation and the determination of the amounts recognized on our Consolidated Balance Sheets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Projected and accumulated benefit obligation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status of the plan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Amounts recognized in the balance sheet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Long-term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Discount rate assumption as of December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2.67 %</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amounts included in AOCI that have not yet been recognized in net periodic benefit income (expense) and the net periodic benefit income (expense) for the postretirement plan were not material in any of the periods presented. The discount rates assumptions used to calculate the interest cost were 1.56% - 2.34%, 2.66% - 3.22% and 3.87% - 4.36% for the years ended December 31, 2021, 2020 and 2019, respectively.</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Expected benefit payments, which reflect expected future service, as appropriate, for the years ended December 31 are summarized below. These estimates are based on assumptions about future events. Actual benefit payments may vary from these estimates.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2027-2030</w:t>
            </w:r>
          </w:p>
        </w:tc>
      </w:tr>
      <w:tr>
        <w:trPr>
          <w:trHeight w:val="229"/>
        </w:trPr>
        <w:tc>
          <w:tcPr>
            <w:tcW w:w="2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Expected benefit payments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authorized to establish one or more series of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Perpetual Preferred Stock and Warrants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2011, we issued 75,000 shares of the Series A Preferred Stock with an initial liquidation preference of $1,000 per share which were convertible into shares of our common stock at a conversion price of $7.00 per common share (subject to customary anti-dilution adjustments). We also issued warrants exercisable for shares of our common stock at an initial exercise price of $7.00 per common share (subject to customary anti-dilution adjustments). Our preferred stock ranked senior to our common stock with respect to dividend and liquidation rights. Our preferred stock paid quarterly cash dividends equal to the greater of: (i) the “as-converted” dividends on our underlying common stock for the relevant quarter and (ii) 4% of the then-applicable liquidation preference per annum. Our preferred stock was not redeemable.</w:t>
      </w:r>
    </w:p>
    <w:p>
      <w:pPr>
        <w:spacing w:after="0" w:line="12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309245</wp:posOffset>
            </wp:positionV>
            <wp:extent cx="32575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their holdings, including Jacobs Private Equity, LLC (“JPE”),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The</w:t>
      </w:r>
    </w:p>
    <w:p>
      <w:pPr>
        <w:spacing w:after="0" w:line="1"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$22 million was reflected as a preferred stock conversion charge in 2020 in the accompanying consolidated financial statements. With respect to the warrants, through December 31, 2020, 0.3 million warrants were exchanged, and we issued 0.3 million shares of common stock.</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2021, the remaining 1,015 preferred shares were exchanged, and we issued 0.1 million shares of common stock. With respect to the warrants, in 2021, 9.8 million warrants were exchanged, and we issued 9.2 million shares of common stock. These exchanges were intended to simplify our equity capital structure, including in contemplation of the spin-off of our Logistics segment. As of December 31, 2021, there were no shares of preferred stock or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July 2021, we completed a registered underwritten offering of 5.0 million shares of our common stock at a public offering price of $138.00 per share, plus an additional 750,000 shares of our common stock through an option granted to underwriters. Of the 5.0 million shares, we offered 2.5 million shares directly and 2.5 million shares were offered by JPE. The additional 750,000 purchased shares were also split equally between us and JPE. We received approximately $384 million of proceeds, net of fees and expenses, from the sale of the shares and used them to repay a portion of our outstanding borrowings and for general corporate purposes. XPO did not receive any proceeds from the sale of shares by JPE.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2018, our Board of Directors authorized the repurchase of up to $1 billion of our common stock, which was completed in the first quarter of 2019. The share repurchases were funded by our Unsecured Credit Facility and available cash.</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2019, our Board of Directors authorized additional repurchases of up to $1.5 billion of our common stock.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this program have been funded by our available cash and proceeds from our 2019 debt offerings.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share repurchases in 2021. Our remaining share repurchase authorization as of December 31, 2021 is $503 million. Information regarding our shares repurchased, based on settlement date, in 2020 and 2019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Aggregate value</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Remaining authorization</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719455</wp:posOffset>
            </wp:positionV>
            <wp:extent cx="325755"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grant various types of stock-based compensation awards to directors, officers and key employees under our 2016 incentive plan. These awards include stock options, restricted stock, restricted stock units, performance-based units, cash incentive awards and other equity-related awards (collectively, “Awards”).</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spin-off and in accordance with plan rules, the shares remaining for future issuance under the 2016 plan were equitably adjusted. With this adjustment, up to 7.2 million shares of our common stock have been authorized for issuance as Awards. Shares awarded may consist of authorized and unissued shares or treasury shares. The 2016 plan will terminate on May 15, 2029, unless terminated earlier by our Board of Directors. As of December 31, 2021, 1.7 million shares of our common stock were available for the grant of Awards under the 2016 plan.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spin-off, stock-based compensation awards that were previously granted to GXO’s employees and directors under XPO’s incentive plan were converted to awards issued under GXO’s incentive plan. Additionally, in order to preserve the value of the awards held by employees continuing with XPO following the spin-off, the number of outstanding shares underlying the awards were adjusted using the ratio and methodology outlined in the EMA. The ratio was based on the closing price per share of XPO common stock on July 30, 2021 compared to the closing price per share of XPO common stock on August 2, 2021. The strike prices of options were similarly adjusted as outlined in the EMA. The impact of these adjustments on the number of awards outstanding is included in the effect of spin-off activity in the tables below. The modification of these awards in connection with the spin-off did not result in incremental compensation cost.</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employee stock purchase plan offers eligible employees, excluding our executive officers and directors, the right to purchase our common stock up to 10% of each employee’s compensation. Shares are purchased at 5% below fair market value on the last trading day of each six-month offering period. The plan authorizes the purchase of up to two million shares of our common stock. The plan will terminate in October 2027, unless terminated earlier by our Board of Directors. We do not recognize stock-based compensation expense as the plan is non-compensatory. At December 31, 2021, two million shares of our common stock were available for purchase under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stock-based compensation expense is recorded in SG&amp;A on our Consolidated Statements of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Cash-settled performance-based restricted stock units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on stock-based compensation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stock options typically vest over three to five years after the grant date for our employees and officers and one year after the grant date for our Board of Directors. The stock options have a 10-year contractual term and the exercise price equals our stock price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323215</wp:posOffset>
            </wp:positionV>
            <wp:extent cx="325755"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 activity for the year ended December 31, 2021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Stock Options</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 Stock Options</w:t>
            </w:r>
          </w:p>
        </w:tc>
        <w:tc>
          <w:tcPr>
            <w:tcW w:w="20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Outstanding as of December 31, 2020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r>
        <w:trPr>
          <w:trHeight w:val="230"/>
        </w:trPr>
        <w:tc>
          <w:tcPr>
            <w:tcW w:w="59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(2)</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Effect of spin-off </w:t>
            </w:r>
            <w:r>
              <w:rPr>
                <w:rFonts w:ascii="Arial" w:cs="Arial" w:eastAsia="Arial" w:hAnsi="Arial"/>
                <w:sz w:val="23"/>
                <w:szCs w:val="23"/>
                <w:color w:val="auto"/>
                <w:vertAlign w:val="superscript"/>
              </w:rPr>
              <w:t>(3)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NM</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0.93</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Outstanding awards at December 31, 2020 includes awards that were subsequently converted to awards issued under GXO’s incentive plan.</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above table excludes stock option awards that were granted in 2021 that subsequently converted to awards issued under GXO’s incentive plan.</w:t>
      </w:r>
    </w:p>
    <w:p>
      <w:pPr>
        <w:spacing w:after="0" w:line="109" w:lineRule="exact"/>
        <w:rPr>
          <w:rFonts w:ascii="Arial" w:cs="Arial" w:eastAsia="Arial" w:hAnsi="Arial"/>
          <w:sz w:val="14"/>
          <w:szCs w:val="14"/>
          <w:color w:val="auto"/>
        </w:rPr>
      </w:pPr>
    </w:p>
    <w:p>
      <w:pPr>
        <w:ind w:left="660" w:right="80" w:hanging="328"/>
        <w:spacing w:after="0" w:line="273" w:lineRule="auto"/>
        <w:tabs>
          <w:tab w:leader="none" w:pos="648"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net impact of (i) adjustments made to preserve the value of awards immediately before and after the spin-off, and (ii) the conversion of certain awards to awards issued under GXO’s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outstanding and exercisable as of December 31, 2021 was less than $1 million.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total intrinsic value of options exercised during 2021, 2020 and 2019 was $4 million, $56 million and $6 million, respectively. The total cash received from options exercised during 2021, 2020 and 2019 was $2 million, less than $1 million and $1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Restricted Stock Units and Performance-Based Restricted Stock Units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grant RSUs and PRSUs to our key employees, officers and directors with various vesting requirements. RSUs generally vest based on the passage of time (service conditions) and PRSUs generally vest based on the achievement of our financial targets (performance conditions). PRSUs may also be subject to stock price (market conditions), employment conditions and other non-financial conditions. The holders of the RSUs and PRSUs do not have the rights of a stockholder and do not have voting rights until the shares are issued and delivered in settlement of the awards.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number of RSUs and PRSUs vested includes shares of our common stock that we withheld on behalf of our employees to satisfy the minimum tax withholdings. We estimate the fair value of PRSUs subject to market-based vesting conditions using a Monte Carlo simulation lattice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284480</wp:posOffset>
            </wp:positionV>
            <wp:extent cx="325755"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and PRSU award activity for the year ended December 31, 2021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RSUs</w:t>
            </w:r>
          </w:p>
        </w:tc>
        <w:tc>
          <w:tcPr>
            <w:tcW w:w="1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PRSUs</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Number of</w:t>
            </w:r>
          </w:p>
        </w:tc>
        <w:tc>
          <w:tcPr>
            <w:tcW w:w="2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Weighted-Average Grant Date</w:t>
            </w:r>
          </w:p>
        </w:tc>
        <w:tc>
          <w:tcPr>
            <w:tcW w:w="12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PRSUs</w:t>
            </w:r>
          </w:p>
        </w:tc>
        <w:tc>
          <w:tcPr>
            <w:tcW w:w="20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Weighted-Average Grant Date</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RSUs</w:t>
            </w:r>
          </w:p>
        </w:tc>
        <w:tc>
          <w:tcPr>
            <w:tcW w:w="560" w:type="dxa"/>
            <w:vAlign w:val="bottom"/>
          </w:tcPr>
          <w:p>
            <w:pPr>
              <w:spacing w:after="0"/>
              <w:rPr>
                <w:sz w:val="16"/>
                <w:szCs w:val="16"/>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Fair Value</w:t>
            </w:r>
          </w:p>
        </w:tc>
        <w:tc>
          <w:tcPr>
            <w:tcW w:w="14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40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Outstanding as of December 31, 2020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1,615,812</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1,856,561</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839,372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(578,216)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40"/>
              <w:spacing w:after="0"/>
              <w:rPr>
                <w:sz w:val="20"/>
                <w:szCs w:val="20"/>
                <w:color w:val="auto"/>
              </w:rPr>
            </w:pPr>
            <w:r>
              <w:rPr>
                <w:rFonts w:ascii="Arial" w:cs="Arial" w:eastAsia="Arial" w:hAnsi="Arial"/>
                <w:sz w:val="18"/>
                <w:szCs w:val="18"/>
                <w:color w:val="auto"/>
              </w:rPr>
              <w:t>Forfeited and canceled</w:t>
            </w:r>
          </w:p>
        </w:tc>
        <w:tc>
          <w:tcPr>
            <w:tcW w:w="1340" w:type="dxa"/>
            <w:vAlign w:val="bottom"/>
          </w:tcPr>
          <w:p>
            <w:pPr>
              <w:jc w:val="right"/>
              <w:spacing w:after="0"/>
              <w:rPr>
                <w:sz w:val="20"/>
                <w:szCs w:val="20"/>
                <w:color w:val="auto"/>
              </w:rPr>
            </w:pPr>
            <w:r>
              <w:rPr>
                <w:rFonts w:ascii="Arial" w:cs="Arial" w:eastAsia="Arial" w:hAnsi="Arial"/>
                <w:sz w:val="18"/>
                <w:szCs w:val="18"/>
                <w:color w:val="auto"/>
              </w:rPr>
              <w:t>(337,312)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(597,739)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Effect of spin-off </w:t>
            </w:r>
            <w:r>
              <w:rPr>
                <w:rFonts w:ascii="Arial" w:cs="Arial" w:eastAsia="Arial" w:hAnsi="Arial"/>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NM</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699,076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1,461,610</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2,006,235</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Outstanding awards at December 31, 2020 includes awards that were subsequently converted to awards issued under GXO’s incentive plan.</w:t>
      </w:r>
    </w:p>
    <w:p>
      <w:pPr>
        <w:spacing w:after="0" w:line="109" w:lineRule="exact"/>
        <w:rPr>
          <w:rFonts w:ascii="Arial" w:cs="Arial" w:eastAsia="Arial" w:hAnsi="Arial"/>
          <w:sz w:val="14"/>
          <w:szCs w:val="14"/>
          <w:color w:val="auto"/>
        </w:rPr>
      </w:pPr>
    </w:p>
    <w:p>
      <w:pPr>
        <w:ind w:left="660" w:right="100" w:hanging="328"/>
        <w:spacing w:after="0" w:line="273" w:lineRule="auto"/>
        <w:tabs>
          <w:tab w:leader="none" w:pos="648"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net impact of (i) adjustments made to preserve the value of awards immediately before and after the spin-off, and (ii) the conversion of certain awards to awards issued under GXO’s incentive plan.</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fair value of RSUs that vested during 2021, 2020 and 2019 was $69 million, $64 million and $13 million, respectively. All of the outstanding RSUs as of December 31, 2021 vest subject to service conditions.</w:t>
      </w:r>
    </w:p>
    <w:p>
      <w:pPr>
        <w:spacing w:after="0" w:line="11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total fair value of PRSUs that vested during 2021, 2020 and 2019 was $2 million, $8 million and $23 million, respectively. Of the outstanding PRSUs as of December 31, 2021, 1,700,480 vest subject to service and a combination of market and performance conditions, 283,764 vest subject to service and performance conditions and 21,991 vest subject to service and market conditions.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2021, unrecognized compensation cost related to non-vested RSUs and PRSUs of $69 million is anticipated to be recognized over a weighted-average period of approximately 2.64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taxes related to our U.S. and foreign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4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420</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center"/>
              <w:ind w:left="755"/>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Foreign</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center"/>
              <w:ind w:left="715"/>
              <w:spacing w:after="0"/>
              <w:rPr>
                <w:sz w:val="20"/>
                <w:szCs w:val="20"/>
                <w:color w:val="auto"/>
              </w:rPr>
            </w:pPr>
            <w:r>
              <w:rPr>
                <w:rFonts w:ascii="Arial" w:cs="Arial" w:eastAsia="Arial" w:hAnsi="Arial"/>
                <w:sz w:val="18"/>
                <w:szCs w:val="18"/>
                <w:color w:val="auto"/>
                <w:w w:val="93"/>
              </w:rPr>
              <w:t>(80)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6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(loss) from continuing operations before income tax</w:t>
            </w:r>
          </w:p>
        </w:tc>
        <w:tc>
          <w:tcPr>
            <w:tcW w:w="1340" w:type="dxa"/>
            <w:vAlign w:val="bottom"/>
            <w:gridSpan w:val="5"/>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410</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center"/>
              <w:ind w:left="715"/>
              <w:spacing w:after="0"/>
              <w:rPr>
                <w:sz w:val="20"/>
                <w:szCs w:val="20"/>
                <w:color w:val="auto"/>
              </w:rPr>
            </w:pPr>
            <w:r>
              <w:rPr>
                <w:rFonts w:ascii="Arial" w:cs="Arial" w:eastAsia="Arial" w:hAnsi="Arial"/>
                <w:sz w:val="18"/>
                <w:szCs w:val="18"/>
                <w:color w:val="auto"/>
                <w:w w:val="93"/>
              </w:rPr>
              <w:t>(35)</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53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(benefit)</w:t>
            </w:r>
          </w:p>
        </w:tc>
        <w:tc>
          <w:tcPr>
            <w:tcW w:w="1340" w:type="dxa"/>
            <w:vAlign w:val="bottom"/>
            <w:gridSpan w:val="5"/>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Arial" w:cs="Arial" w:eastAsia="Arial" w:hAnsi="Arial"/>
                <w:sz w:val="18"/>
                <w:szCs w:val="18"/>
                <w:color w:val="FFFFFF"/>
              </w:rPr>
              <w:t>93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is comprised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deferred income tax provision (benefit)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reconciliations were as follows:</w:t>
      </w:r>
    </w:p>
    <w:p>
      <w:pPr>
        <w:spacing w:after="0" w:line="14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gridSpan w:val="2"/>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State taxes, net of U.S. federal benefit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30"/>
        </w:trPr>
        <w:tc>
          <w:tcPr>
            <w:tcW w:w="712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Foreign operations </w:t>
            </w:r>
            <w:r>
              <w:rPr>
                <w:rFonts w:ascii="Arial" w:cs="Arial" w:eastAsia="Arial" w:hAnsi="Arial"/>
                <w:sz w:val="23"/>
                <w:szCs w:val="23"/>
                <w:color w:val="auto"/>
                <w:vertAlign w:val="superscript"/>
              </w:rPr>
              <w:t>(1)</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29"/>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Contribution- and margin-based taxes</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2.8</w:t>
            </w:r>
          </w:p>
        </w:tc>
      </w:tr>
      <w:tr>
        <w:trPr>
          <w:trHeight w:val="230"/>
        </w:trPr>
        <w:tc>
          <w:tcPr>
            <w:tcW w:w="7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Changes in uncertain tax positions</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r>
      <w:tr>
        <w:trPr>
          <w:trHeight w:val="230"/>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Non-deductible compensation</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30"/>
        </w:trPr>
        <w:tc>
          <w:tcPr>
            <w:tcW w:w="7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Provision to return adjustments</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29"/>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Effect of law changes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2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0.8</w:t>
            </w:r>
          </w:p>
        </w:tc>
      </w:tr>
      <w:tr>
        <w:trPr>
          <w:trHeight w:val="230"/>
        </w:trPr>
        <w:tc>
          <w:tcPr>
            <w:tcW w:w="7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r>
      <w:tr>
        <w:trPr>
          <w:trHeight w:val="230"/>
        </w:trPr>
        <w:tc>
          <w:tcPr>
            <w:tcW w:w="7120" w:type="dxa"/>
            <w:vAlign w:val="bottom"/>
            <w:gridSpan w:val="3"/>
          </w:tcPr>
          <w:p>
            <w:pPr>
              <w:ind w:left="360"/>
              <w:spacing w:after="0"/>
              <w:rPr>
                <w:sz w:val="20"/>
                <w:szCs w:val="20"/>
                <w:color w:val="auto"/>
              </w:rPr>
            </w:pPr>
            <w:r>
              <w:rPr>
                <w:rFonts w:ascii="Arial" w:cs="Arial" w:eastAsia="Arial" w:hAnsi="Arial"/>
                <w:sz w:val="18"/>
                <w:szCs w:val="18"/>
                <w:color w:val="auto"/>
              </w:rPr>
              <w:t>Long-term capital loss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(11.0)</w:t>
            </w:r>
          </w:p>
        </w:tc>
        <w:tc>
          <w:tcPr>
            <w:tcW w:w="120" w:type="dxa"/>
            <w:vAlign w:val="bottom"/>
          </w:tcPr>
          <w:p>
            <w:pPr>
              <w:spacing w:after="0"/>
              <w:rPr>
                <w:sz w:val="19"/>
                <w:szCs w:val="19"/>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9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19.7 %</w:t>
            </w:r>
          </w:p>
        </w:tc>
      </w:tr>
      <w:tr>
        <w:trPr>
          <w:trHeight w:val="20"/>
        </w:trPr>
        <w:tc>
          <w:tcPr>
            <w:tcW w:w="5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right="300" w:hanging="328"/>
        <w:spacing w:after="0" w:line="273" w:lineRule="auto"/>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the impact of foreign tax rate differences from the U.S. Federal rate and permanent items related to foreign operations.</w:t>
      </w:r>
    </w:p>
    <w:p>
      <w:pPr>
        <w:spacing w:after="0" w:line="65" w:lineRule="exact"/>
        <w:rPr>
          <w:rFonts w:ascii="Arial" w:cs="Arial" w:eastAsia="Arial" w:hAnsi="Arial"/>
          <w:sz w:val="14"/>
          <w:szCs w:val="14"/>
          <w:color w:val="auto"/>
        </w:rPr>
      </w:pPr>
    </w:p>
    <w:p>
      <w:pPr>
        <w:ind w:left="660" w:right="40" w:hanging="328"/>
        <w:spacing w:after="0" w:line="257" w:lineRule="auto"/>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the year ended December 31, 2020, the impact of “Other” on the effective tax rate was disproportionately high compared to 2019 and 2021 due to the low income (loss) from continuing operations before income tax provision (benefit) in 2020. For 2020, “Other” is primarily comprised of 7.7% of U.S. Federal tax credits, 6.5% of U.S. Federal tax permanent adjustments, and 2.7% of changes in valuations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335280</wp:posOffset>
            </wp:positionV>
            <wp:extent cx="32575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4"/>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Net operating loss and other tax attribute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Pension and other retirement obligations</w:t>
            </w: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0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deferred tax asset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8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0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deferred tax asset,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0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Pension and other retirement obligations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0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deferred tax liability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and deferred tax liability above are reflected on our Consolidated Balance Sheets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Loss and Tax Credit Carryforwards</w:t>
            </w: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gridSpan w:val="3"/>
          </w:tcPr>
          <w:p>
            <w:pPr>
              <w:spacing w:after="0"/>
              <w:rPr>
                <w:sz w:val="20"/>
                <w:szCs w:val="20"/>
                <w:color w:val="auto"/>
              </w:rPr>
            </w:pPr>
            <w:r>
              <w:rPr>
                <w:rFonts w:ascii="Arial" w:cs="Arial" w:eastAsia="Arial" w:hAnsi="Arial"/>
                <w:sz w:val="18"/>
                <w:szCs w:val="18"/>
                <w:color w:val="auto"/>
              </w:rPr>
              <w:t>Our operating loss and tax credit carryforwards were as follows:</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880" w:type="dxa"/>
            <w:vAlign w:val="bottom"/>
            <w:gridSpan w:val="3"/>
          </w:tcPr>
          <w:p>
            <w:pPr>
              <w:ind w:left="200"/>
              <w:spacing w:after="0"/>
              <w:rPr>
                <w:sz w:val="20"/>
                <w:szCs w:val="20"/>
                <w:color w:val="auto"/>
              </w:rPr>
            </w:pPr>
            <w:r>
              <w:rPr>
                <w:rFonts w:ascii="Arial" w:cs="Arial" w:eastAsia="Arial" w:hAnsi="Arial"/>
                <w:sz w:val="14"/>
                <w:szCs w:val="14"/>
                <w:b w:val="1"/>
                <w:bCs w:val="1"/>
                <w:color w:val="auto"/>
              </w:rPr>
              <w:t>Expiration Date</w:t>
            </w: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8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89"/>
              </w:rPr>
              <w:t>2033</w:t>
            </w:r>
          </w:p>
        </w:tc>
        <w:tc>
          <w:tcPr>
            <w:tcW w:w="17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- 2037 </w:t>
            </w:r>
            <w:r>
              <w:rPr>
                <w:rFonts w:ascii="Arial" w:cs="Arial" w:eastAsia="Arial" w:hAnsi="Arial"/>
                <w:sz w:val="23"/>
                <w:szCs w:val="23"/>
                <w:color w:val="auto"/>
                <w:vertAlign w:val="superscript"/>
              </w:rPr>
              <w:t>(1)</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vMerge w:val="restart"/>
            <w:shd w:val="clear" w:color="auto" w:fill="CCEEFF"/>
          </w:tcPr>
          <w:p>
            <w:pPr>
              <w:jc w:val="right"/>
              <w:ind w:right="31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(including those of minority owned subsidiaries)</w:t>
            </w:r>
          </w:p>
        </w:tc>
        <w:tc>
          <w:tcPr>
            <w:tcW w:w="40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Federal long-term capital loss carryforwards</w:t>
            </w:r>
          </w:p>
        </w:tc>
        <w:tc>
          <w:tcPr>
            <w:tcW w:w="400" w:type="dxa"/>
            <w:vAlign w:val="bottom"/>
          </w:tcPr>
          <w:p>
            <w:pPr>
              <w:ind w:left="20"/>
              <w:spacing w:after="0"/>
              <w:rPr>
                <w:sz w:val="20"/>
                <w:szCs w:val="20"/>
                <w:color w:val="auto"/>
              </w:rPr>
            </w:pPr>
            <w:r>
              <w:rPr>
                <w:rFonts w:ascii="Arial" w:cs="Arial" w:eastAsia="Arial" w:hAnsi="Arial"/>
                <w:sz w:val="18"/>
                <w:szCs w:val="18"/>
                <w:color w:val="auto"/>
                <w:w w:val="89"/>
              </w:rPr>
              <w:t>2027</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2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w:t>
            </w:r>
          </w:p>
        </w:tc>
        <w:tc>
          <w:tcPr>
            <w:tcW w:w="1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vMerge w:val="restart"/>
          </w:tcPr>
          <w:p>
            <w:pPr>
              <w:ind w:left="20"/>
              <w:spacing w:after="0"/>
              <w:rPr>
                <w:sz w:val="20"/>
                <w:szCs w:val="20"/>
                <w:color w:val="auto"/>
              </w:rPr>
            </w:pPr>
            <w:r>
              <w:rPr>
                <w:rFonts w:ascii="Arial" w:cs="Arial" w:eastAsia="Arial" w:hAnsi="Arial"/>
                <w:sz w:val="18"/>
                <w:szCs w:val="18"/>
                <w:color w:val="auto"/>
              </w:rPr>
              <w:t>Federal tax credit carryforwards</w:t>
            </w:r>
          </w:p>
        </w:tc>
        <w:tc>
          <w:tcPr>
            <w:tcW w:w="22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89"/>
              </w:rPr>
              <w:t>2032</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State tax credit carryforward</w:t>
            </w:r>
          </w:p>
        </w:tc>
        <w:tc>
          <w:tcPr>
            <w:tcW w:w="22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w:t>
            </w:r>
          </w:p>
        </w:tc>
        <w:tc>
          <w:tcPr>
            <w:tcW w:w="1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2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Various times starting in</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taxable income</w:t>
            </w:r>
          </w:p>
        </w:tc>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1760" w:type="dxa"/>
            <w:vAlign w:val="bottom"/>
          </w:tcPr>
          <w:p>
            <w:pPr>
              <w:ind w:lef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Some credits and losses have unlimited carryforward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346710</wp:posOffset>
            </wp:positionV>
            <wp:extent cx="325755"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established a valuation allowance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 has been provided on these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activity related to our valuation allowance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Beginning Balance</w:t>
            </w: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Reductions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Arial" w:cs="Arial" w:eastAsia="Arial" w:hAnsi="Arial"/>
                <w:sz w:val="14"/>
                <w:szCs w:val="14"/>
                <w:b w:val="1"/>
                <w:bCs w:val="1"/>
                <w:color w:val="auto"/>
              </w:rPr>
              <w:t>Ending Balance</w:t>
            </w:r>
          </w:p>
        </w:tc>
      </w:tr>
      <w:tr>
        <w:trPr>
          <w:trHeight w:val="229"/>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Additions for tax positions of the current period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Settlements with tax authorities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Currency translation adjustment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Gross unrecognized tax benefits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56"/>
        </w:trPr>
        <w:tc>
          <w:tcPr>
            <w:tcW w:w="64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unrecognized tax benefits that, if recognized, would impact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the effective income tax rate as of the end of the year</w:t>
            </w: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could reflect a reduction to unrecognized tax benefits of up to $1 million over the next 12 months due to the statute of limitations lapsing on positions or because tax positions are sustained on audit.</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2021, we have no tax years under examination by the IRS. We have various U.S. state and local examinations and non-U.S. examinations in process. The U.S. federal tax returns after 2008, state and local returns after 2013, and non-U.S. returns after 2010 are open under relevant statutes of limitations and are subject to audit.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compute basic and diluted earnings per share using the two-class method, which allocates earnings to participating securities. The participating securities in 2020 and 2019 consisted of our Series A Convertible Perpetual Preferred Stock. The undistributed earnings are allocated between common shares and participating securities as if all earnings had been distributed during the period. Losses are not allocated to the preferred shares. As discussed in Note 14—Stockholders’ Equity, we recorded a preferred stock conversion charge in December 2020 in connection with the conversion of our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334010</wp:posOffset>
            </wp:positionV>
            <wp:extent cx="325755"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75"/>
        </w:trPr>
        <w:tc>
          <w:tcPr>
            <w:tcW w:w="73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from continuing operations attributable to noncontrolling</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Net income (loss) from continuing operations attributable to XPO</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conversion charge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Series A preferred stock dividends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allocation of undistributed earnings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56"/>
        </w:trPr>
        <w:tc>
          <w:tcPr>
            <w:tcW w:w="7340" w:type="dxa"/>
            <w:vAlign w:val="bottom"/>
            <w:gridSpan w:val="2"/>
          </w:tcPr>
          <w:p>
            <w:pPr>
              <w:ind w:left="180"/>
              <w:spacing w:after="0" w:line="156" w:lineRule="exact"/>
              <w:rPr>
                <w:sz w:val="20"/>
                <w:szCs w:val="20"/>
                <w:color w:val="auto"/>
              </w:rPr>
            </w:pPr>
            <w:r>
              <w:rPr>
                <w:rFonts w:ascii="Arial" w:cs="Arial" w:eastAsia="Arial" w:hAnsi="Arial"/>
                <w:sz w:val="18"/>
                <w:szCs w:val="18"/>
                <w:color w:val="auto"/>
              </w:rPr>
              <w:t>Net income (loss) from continuing operations attributable to common</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Income from discontinued operations, net of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76"/>
        </w:trPr>
        <w:tc>
          <w:tcPr>
            <w:tcW w:w="73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 noncontrolling</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income from discontinued operations attributable to common shares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42"/>
        </w:trPr>
        <w:tc>
          <w:tcPr>
            <w:tcW w:w="7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Net income (loss) from continuing operations attributable to common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340" w:type="dxa"/>
            <w:vAlign w:val="bottom"/>
            <w:gridSpan w:val="2"/>
          </w:tcPr>
          <w:p>
            <w:pPr>
              <w:ind w:left="520"/>
              <w:spacing w:after="0"/>
              <w:rPr>
                <w:sz w:val="20"/>
                <w:szCs w:val="20"/>
                <w:color w:val="auto"/>
              </w:rPr>
            </w:pPr>
            <w:r>
              <w:rPr>
                <w:rFonts w:ascii="Arial" w:cs="Arial" w:eastAsia="Arial" w:hAnsi="Arial"/>
                <w:sz w:val="18"/>
                <w:szCs w:val="18"/>
                <w:color w:val="auto"/>
              </w:rPr>
              <w:t>shares, basic</w:t>
            </w: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 common shares,</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shares, 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Basic weighted-average common shares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62"/>
        </w:trPr>
        <w:tc>
          <w:tcPr>
            <w:tcW w:w="7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Basic earnings (loss) from continuing operations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from discontinued operations per share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(loss) from continuing operations attributable to common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shares, diluted</w:t>
            </w: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 common shares,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shares,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7340" w:type="dxa"/>
            <w:vAlign w:val="bottom"/>
            <w:gridSpan w:val="2"/>
          </w:tcPr>
          <w:p>
            <w:pPr>
              <w:ind w:left="180"/>
              <w:spacing w:after="0"/>
              <w:rPr>
                <w:sz w:val="20"/>
                <w:szCs w:val="20"/>
                <w:color w:val="auto"/>
              </w:rPr>
            </w:pPr>
            <w:r>
              <w:rPr>
                <w:rFonts w:ascii="Arial" w:cs="Arial" w:eastAsia="Arial" w:hAnsi="Arial"/>
                <w:sz w:val="18"/>
                <w:szCs w:val="18"/>
                <w:color w:val="auto"/>
              </w:rPr>
              <w:t>Dilutive effect of stock-based awards and warrants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from continuing operations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earnings from discontinued operations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Potential common shares excluded</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(loss) per share because the effect was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involving claims that our owner-operators or contract carriers should be treated as employees, rather than independent contractors (“misclassification claims”). These lawsuits and proceedings may seek substantial monetary damages (including claims for unpaid wages, overtime, failure to provide meal and rest breaks, unreimbursed business expenses, penalties and other items), injunctive relief, or both.</w:t>
      </w:r>
    </w:p>
    <w:p>
      <w:pPr>
        <w:spacing w:after="0" w:line="1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Certain of our intermodal drayage subsidiaries are defendants in class action litigations brought by independent contract carriers in California who contracted with these subsidiaries. In these cases, the contract carriers assert that they should be classified as employees, rather than independent contractors. In two related cases pending in Federal District Court in Los Angeles</w:t>
      </w:r>
      <w:r>
        <w:rPr>
          <w:rFonts w:ascii="Arial" w:cs="Arial" w:eastAsia="Arial" w:hAnsi="Arial"/>
          <w:sz w:val="16"/>
          <w:szCs w:val="16"/>
          <w:i w:val="1"/>
          <w:iCs w:val="1"/>
          <w:color w:val="auto"/>
        </w:rPr>
        <w:t>, Alvarez v. XPO Logistics Cartage, LLC</w:t>
      </w:r>
      <w:r>
        <w:rPr>
          <w:rFonts w:ascii="Arial" w:cs="Arial" w:eastAsia="Arial" w:hAnsi="Arial"/>
          <w:sz w:val="16"/>
          <w:szCs w:val="16"/>
          <w:color w:val="auto"/>
        </w:rPr>
        <w:t xml:space="preserve"> and </w:t>
      </w:r>
      <w:r>
        <w:rPr>
          <w:rFonts w:ascii="Arial" w:cs="Arial" w:eastAsia="Arial" w:hAnsi="Arial"/>
          <w:sz w:val="16"/>
          <w:szCs w:val="16"/>
          <w:i w:val="1"/>
          <w:iCs w:val="1"/>
          <w:color w:val="auto"/>
        </w:rPr>
        <w:t>Arrellano v. XPO Port</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Inc.</w:t>
      </w:r>
      <w:r>
        <w:rPr>
          <w:rFonts w:ascii="Arial" w:cs="Arial" w:eastAsia="Arial" w:hAnsi="Arial"/>
          <w:sz w:val="16"/>
          <w:szCs w:val="16"/>
          <w:color w:val="auto"/>
        </w:rPr>
        <w:t>, the Court has certified classes beginning in April 2016 and March 2013, respectively. Plaintiffs allege that defendants exercised an</w:t>
      </w:r>
      <w:r>
        <w:rPr>
          <w:rFonts w:ascii="Arial" w:cs="Arial" w:eastAsia="Arial" w:hAnsi="Arial"/>
          <w:sz w:val="16"/>
          <w:szCs w:val="16"/>
          <w:i w:val="1"/>
          <w:iCs w:val="1"/>
          <w:color w:val="auto"/>
        </w:rPr>
        <w:t xml:space="preserve"> </w:t>
      </w:r>
      <w:r>
        <w:rPr>
          <w:rFonts w:ascii="Arial" w:cs="Arial" w:eastAsia="Arial" w:hAnsi="Arial"/>
          <w:sz w:val="16"/>
          <w:szCs w:val="16"/>
          <w:color w:val="auto"/>
        </w:rPr>
        <w:t>impermissible degree of control over plaintiffs’ operations through the terms of the parties’ contracts and defendants’ policies, including enforcement of requirements imposed on motor carriers by state and federal law. The particular claims asserted vary from case to case but generally include claims that, should the contract carriers be determined to be employees, they would be entitled to reimbursement for unpaid wages and/or minimum wage, unpaid wages for missed meal and rest periods, reimbursement of certain of the contract carriers’ business expenses (including fuel and insurance related costs), Labor Code penalties under California’s Private Attorneys General Act, and attorneys’ fees and costs associated with bringing the action. Defendants mounted a vigorous defense on the merits of plaintiffs’ claims, including as to whether the plaintiffs met the applicable test for the threshold issue of employment classification. Trial in both cases was scheduled to begin September 7, 2021.</w:t>
      </w:r>
    </w:p>
    <w:p>
      <w:pPr>
        <w:spacing w:after="0" w:line="11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2021, the parties held a mediation at which a tentative settlement was reached in both actions. Subject to the Court’s approval, we have agreed to pay the plaintiff class in the Alvarez case a total of $20 million, which includes all attorneys’ fees and other costs. We have agreed to pay the plaintiff class in the Arrellano case a total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$9.5 million, which includes all attorneys’ fees and other costs. We accrued for both settlements in the third quarter of 2021. Under the terms of both settlement agreements, we do not have to reclassify our contractors as employees and the plaintiff classes have agreed to release us from all liability from the inception of each respective class period through December 31, 2021. All parties involved have agreed to dismiss all claims and counterclaims with prejudice, and the settlement agreements do not contain any admission of liability, wrongdoing or responsibility by any of the parties. The Court granted preliminary approval of the settlements on October 8, 2021, and pursuant to the settlement agreements, the company provided the settlement funds to the third-party class administrators in December 2021. On January 10, 2022, following a hearing, the Court granted final approval of the settlements. Plaintiffs’ motions for attorneys’ fees and incentive awards have been taken under submission, so final judgment has not yet been entered, but the company currently expects distribution of funds to class members to occur in the first half of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On December 14, 2018, a putative class action captioned </w:t>
      </w:r>
      <w:r>
        <w:rPr>
          <w:rFonts w:ascii="Arial" w:cs="Arial" w:eastAsia="Arial" w:hAnsi="Arial"/>
          <w:sz w:val="17"/>
          <w:szCs w:val="17"/>
          <w:i w:val="1"/>
          <w:iCs w:val="1"/>
          <w:color w:val="auto"/>
        </w:rPr>
        <w:t>Labul v. XPO Logistics, Inc. et al.</w:t>
      </w:r>
      <w:r>
        <w:rPr>
          <w:rFonts w:ascii="Arial" w:cs="Arial" w:eastAsia="Arial" w:hAnsi="Arial"/>
          <w:sz w:val="17"/>
          <w:szCs w:val="17"/>
          <w:color w:val="auto"/>
        </w:rPr>
        <w:t>,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 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On March 19, 2021, the Court dismissed the first amended consolidated class action complaint with prejudice and closed the case. On April 29, 2021, the Pension Funds filed a notice of appeal, and the appellate process is ongoing.</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xml:space="preserve">, (the “Jez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Jez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 Logistics, Inc.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On December 12, 2019, the Court ordered plaintiffs to designate an operative complaint or file an amended complaint within 45 days.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27, 2020, plaintiffs designated the Jez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On April 14, 2021, the Court issued an order staying proceedings pending resolution of an appeal in the Labul action. Plaintiffs stipulated that they will dismiss the shareholder derivative action with prejudice if the Labul dismissal is affirmed on appeal.</w:t>
      </w:r>
    </w:p>
    <w:p>
      <w:pPr>
        <w:spacing w:after="0" w:line="13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We are unable at this time to determine the amount of the possible loss or range of loss, if any, that we may incur as a result of these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Contribution Litigation</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2012, Allianz Global Risks US Insurance Company sued eighteen insurance companies in a case captioned Allianz Global Risks US Ins. Co. v. ACE Property &amp; Casualty Ins. Co., et al., Multnomah County Circuit Court (Case No. 1204-04552). Allianz sought contribution on environmental and product liability claims that Allianz agreed to defend and indemnify on behalf of its insured, Daimler Trucks North America (“DTNA”). Defendants had insured Freightliner’s assets, which DTNA acquired in 1981. Con-way, Freightliner’s former parent company, intervened. We acquired Con-way in 2015. Con-way and Freightliner had self-insured under fronting agreements with defendant insurers ACE, Westport, and General. Under those agreements, Con-way agreed to indemnify the fronting carriers for damages assessed under the fronting policies. Con-way’s captive insurer, Centron, was also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310515</wp:posOffset>
            </wp:positionV>
            <wp:extent cx="325755"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named defendant. After a seven-week jury trial in 2014, the jury found that Con-way and the fronting insurers never intended that the insurers defend or indemnify any claims against Freightliner. In June 2015, Allianz appealed to the Oregon Court of Appeals. In May 2019, the Oregon Court of Appeals upheld the jury verdict. In September 2019, Allianz appealed to the Oregon Supreme Court. In March 2021, the Oregon Supreme Court reversed the jury verdict, holding that it was an error to allow the jury to decide how the parties intended the fronting policies to operate, and also holding that the trial court improperly instructed the jury concerning one of the pollution exclusions at issue. In July of 2021, the matter was remanded to the trial court for further proceedings consistent with the Oregon Supreme Court’s decision. There is no date yet set for the next stages of the proceeding. The parties have filed cross-motions for summary judgment concerning the interpretation of certain of the fronting policies, which are yet to be decided. Following summary judgment, we anticipate a jury trial on the pollution exclusion, then a bench trial on allocation of defense costs among the subject insurance policies. We have accrued an immaterial amount for the potential exposure associated with Centron in the bench trial regarding allocation. As any losses that may arise in connection with the fronting policies issued by defendant insurers ACE, Westport, and General are not reasonably estimable at this time, no liability has been accrued in the accompanying consolidated financial statements for those potential exposures.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unaudited results of operations for each of the quarters in the years ended December 31, 2021 and 2020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 xml:space="preserve">Third Quarter </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9"/>
              </w:rPr>
              <w:t>Fourth Quarter</w:t>
            </w:r>
          </w:p>
        </w:tc>
        <w:tc>
          <w:tcPr>
            <w:tcW w:w="0" w:type="dxa"/>
            <w:vAlign w:val="bottom"/>
          </w:tcPr>
          <w:p>
            <w:pPr>
              <w:spacing w:after="0"/>
              <w:rPr>
                <w:sz w:val="1"/>
                <w:szCs w:val="1"/>
                <w:color w:val="auto"/>
              </w:rPr>
            </w:pPr>
          </w:p>
        </w:tc>
      </w:tr>
      <w:tr>
        <w:trPr>
          <w:trHeight w:val="189"/>
        </w:trPr>
        <w:tc>
          <w:tcPr>
            <w:tcW w:w="6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(loss) attributable to common shareholders: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earnings (loss) per share: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6"/>
        </w:trPr>
        <w:tc>
          <w:tcPr>
            <w:tcW w:w="600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Basic earnings (loss) per share attributable to common</w:t>
            </w: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6000" w:type="dxa"/>
            <w:vAlign w:val="bottom"/>
            <w:gridSpan w:val="2"/>
          </w:tcPr>
          <w:p>
            <w:pPr>
              <w:ind w:left="68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5"/>
        </w:trPr>
        <w:tc>
          <w:tcPr>
            <w:tcW w:w="600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Diluted earnings (loss) per share attributable to common</w:t>
            </w: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6000" w:type="dxa"/>
            <w:vAlign w:val="bottom"/>
            <w:gridSpan w:val="2"/>
          </w:tcPr>
          <w:p>
            <w:pPr>
              <w:ind w:left="68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60" w:right="20" w:hanging="328"/>
        <w:spacing w:after="0" w:line="312" w:lineRule="auto"/>
        <w:tabs>
          <w:tab w:leader="none" w:pos="645"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sum of the quarterly Net income (loss) attributable to common shareholders and earnings (loss) per share may not equal annual amounts due to differences in the weighted-average number of shares outstanding during the respective periods and because losses are not allocated to the Series A Preferred Stock in calculating earnings (loss) per share.</w:t>
      </w:r>
    </w:p>
    <w:p>
      <w:pPr>
        <w:spacing w:after="0" w:line="43" w:lineRule="exact"/>
        <w:rPr>
          <w:rFonts w:ascii="Arial" w:cs="Arial" w:eastAsia="Arial" w:hAnsi="Arial"/>
          <w:sz w:val="13"/>
          <w:szCs w:val="13"/>
          <w:color w:val="auto"/>
        </w:rPr>
      </w:pPr>
    </w:p>
    <w:p>
      <w:pPr>
        <w:ind w:left="640" w:hanging="30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third quarter of 2021 included a litigation settlement charge of $29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346710</wp:posOffset>
            </wp:positionV>
            <wp:extent cx="325755" cy="205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16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 xml:space="preserve">Second Quarter </w:t>
            </w:r>
            <w:r>
              <w:rPr>
                <w:rFonts w:ascii="Arial" w:cs="Arial" w:eastAsia="Arial" w:hAnsi="Arial"/>
                <w:sz w:val="18"/>
                <w:szCs w:val="18"/>
                <w:b w:val="1"/>
                <w:bCs w:val="1"/>
                <w:color w:val="auto"/>
                <w:vertAlign w:val="superscript"/>
              </w:rPr>
              <w:t>(3)</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Third Quarter</w:t>
            </w: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 xml:space="preserve">Fourth Quarter </w:t>
            </w:r>
            <w:r>
              <w:rPr>
                <w:rFonts w:ascii="Arial" w:cs="Arial" w:eastAsia="Arial" w:hAnsi="Arial"/>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left="17"/>
              <w:spacing w:after="0" w:line="189" w:lineRule="exact"/>
              <w:rPr>
                <w:sz w:val="20"/>
                <w:szCs w:val="20"/>
                <w:color w:val="auto"/>
              </w:rPr>
            </w:pPr>
            <w:r>
              <w:rPr>
                <w:rFonts w:ascii="Arial" w:cs="Arial" w:eastAsia="Arial" w:hAnsi="Arial"/>
                <w:sz w:val="14"/>
                <w:szCs w:val="14"/>
                <w:b w:val="1"/>
                <w:bCs w:val="1"/>
                <w:color w:val="auto"/>
                <w:w w:val="95"/>
              </w:rPr>
              <w:t xml:space="preserve">Quarter </w:t>
            </w:r>
            <w:r>
              <w:rPr>
                <w:rFonts w:ascii="Arial" w:cs="Arial" w:eastAsia="Arial" w:hAnsi="Arial"/>
                <w:sz w:val="18"/>
                <w:szCs w:val="18"/>
                <w:b w:val="1"/>
                <w:bCs w:val="1"/>
                <w:color w:val="auto"/>
                <w:w w:val="95"/>
                <w:vertAlign w:val="superscript"/>
              </w:rPr>
              <w:t>(2)</w:t>
            </w:r>
          </w:p>
        </w:tc>
        <w:tc>
          <w:tcPr>
            <w:tcW w:w="164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8"/>
                <w:szCs w:val="18"/>
                <w:b w:val="1"/>
                <w:bCs w:val="1"/>
                <w:color w:val="auto"/>
                <w:w w:val="74"/>
              </w:rPr>
              <w:t>2020</w:t>
            </w:r>
          </w:p>
        </w:tc>
        <w:tc>
          <w:tcPr>
            <w:tcW w:w="47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2,675$</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20"/>
                <w:szCs w:val="20"/>
                <w:color w:val="auto"/>
              </w:rPr>
            </w:pPr>
            <w:r>
              <w:rPr>
                <w:rFonts w:ascii="Arial" w:cs="Arial" w:eastAsia="Arial" w:hAnsi="Arial"/>
                <w:sz w:val="18"/>
                <w:szCs w:val="18"/>
                <w:color w:val="auto"/>
              </w:rPr>
              <w:t>Net</w:t>
            </w:r>
          </w:p>
        </w:tc>
        <w:tc>
          <w:tcPr>
            <w:tcW w:w="4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income (loss) attributable to common shareholders: </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20" w:type="dxa"/>
            <w:vAlign w:val="bottom"/>
            <w:vMerge w:val="restart"/>
          </w:tcPr>
          <w:p>
            <w:pPr>
              <w:spacing w:after="0"/>
              <w:rPr>
                <w:sz w:val="20"/>
                <w:szCs w:val="20"/>
                <w:color w:val="auto"/>
              </w:rPr>
            </w:pPr>
            <w:r>
              <w:rPr>
                <w:rFonts w:ascii="Arial" w:cs="Arial" w:eastAsia="Arial" w:hAnsi="Arial"/>
                <w:sz w:val="17"/>
                <w:szCs w:val="17"/>
                <w:color w:val="auto"/>
                <w:w w:val="72"/>
              </w:rPr>
              <w:t>Basic</w:t>
            </w:r>
          </w:p>
        </w:tc>
        <w:tc>
          <w:tcPr>
            <w:tcW w:w="47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20" w:type="dxa"/>
            <w:vAlign w:val="bottom"/>
            <w:vMerge w:val="continue"/>
          </w:tcPr>
          <w:p>
            <w:pPr>
              <w:spacing w:after="0"/>
              <w:rPr>
                <w:sz w:val="19"/>
                <w:szCs w:val="19"/>
                <w:color w:val="auto"/>
              </w:rPr>
            </w:pPr>
          </w:p>
        </w:tc>
        <w:tc>
          <w:tcPr>
            <w:tcW w:w="47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Basic earnings (loss) per share attributable to common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5"/>
              </w:rPr>
              <w:t>0.23</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0.93</w:t>
            </w: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shareholders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23"/>
                <w:szCs w:val="23"/>
                <w:color w:val="auto"/>
                <w:vertAlign w:val="superscript"/>
              </w:rPr>
              <w:t>(1)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Diluted earnings (loss) per share attributable to common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5"/>
              </w:rPr>
              <w:t>0.23</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0.83</w:t>
            </w: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shareholders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-2554605</wp:posOffset>
            </wp:positionV>
            <wp:extent cx="672084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-2263140</wp:posOffset>
            </wp:positionV>
            <wp:extent cx="6720840"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-694055</wp:posOffset>
            </wp:positionV>
            <wp:extent cx="672084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163" w:lineRule="exact"/>
        <w:rPr>
          <w:sz w:val="20"/>
          <w:szCs w:val="20"/>
          <w:color w:val="auto"/>
        </w:rPr>
      </w:pPr>
    </w:p>
    <w:p>
      <w:pPr>
        <w:ind w:left="660" w:hanging="328"/>
        <w:spacing w:after="0" w:line="312" w:lineRule="auto"/>
        <w:tabs>
          <w:tab w:leader="none" w:pos="645"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sum of the quarterly Net income (loss) attributable to common shareholders and earnings (loss) per share may not equal annual amounts due to differences in the weighted-average number of shares outstanding during the respective periods and because losses are not allocated to the Series A Preferred Stock in calculating earnings (loss) per share.</w:t>
      </w:r>
    </w:p>
    <w:p>
      <w:pPr>
        <w:spacing w:after="0" w:line="43" w:lineRule="exact"/>
        <w:rPr>
          <w:rFonts w:ascii="Arial" w:cs="Arial" w:eastAsia="Arial" w:hAnsi="Arial"/>
          <w:sz w:val="13"/>
          <w:szCs w:val="13"/>
          <w:color w:val="auto"/>
        </w:rPr>
      </w:pP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first quarter of 2020 included transaction and integration costs of $37 million.</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second quarter of 2020 included transaction and integration costs of $29 million and restructuring costs of $28 million.</w:t>
      </w:r>
    </w:p>
    <w:p>
      <w:pPr>
        <w:spacing w:after="0" w:line="109" w:lineRule="exact"/>
        <w:rPr>
          <w:rFonts w:ascii="Arial" w:cs="Arial" w:eastAsia="Arial" w:hAnsi="Arial"/>
          <w:sz w:val="14"/>
          <w:szCs w:val="14"/>
          <w:color w:val="auto"/>
        </w:rPr>
      </w:pPr>
    </w:p>
    <w:p>
      <w:pPr>
        <w:ind w:left="660" w:right="20" w:hanging="328"/>
        <w:spacing w:after="0" w:line="312" w:lineRule="auto"/>
        <w:tabs>
          <w:tab w:leader="none" w:pos="645"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fourth quarter of 2020 included a $22 million, or $0.22 per diluted share from continuing operations, preferred stock conversion charge that reduced income attributable to common shareholders from continuing operations for earnings per share purposes, but did not affect net income, associated with the December 2020 conversion of our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305435</wp:posOffset>
            </wp:positionV>
            <wp:extent cx="325755" cy="205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200"/>
        <w:spacing w:after="0" w:line="470"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pursuant to Rule 13a-15(e) and Rule</w:t>
      </w:r>
    </w:p>
    <w:p>
      <w:pPr>
        <w:ind w:right="80"/>
        <w:spacing w:after="0" w:line="253" w:lineRule="auto"/>
        <w:rPr>
          <w:sz w:val="20"/>
          <w:szCs w:val="20"/>
          <w:color w:val="auto"/>
        </w:rPr>
      </w:pPr>
      <w:r>
        <w:rPr>
          <w:rFonts w:ascii="Arial" w:cs="Arial" w:eastAsia="Arial" w:hAnsi="Arial"/>
          <w:sz w:val="18"/>
          <w:szCs w:val="18"/>
          <w:color w:val="auto"/>
        </w:rPr>
        <w:t>15d-15(e) under the Securities Exchange Act of 1934, as amended, as of December 31, 2021. Based on that evaluation, our CEO and CFO concluded that our disclosure controls and procedures were effective as of December 31, 2021, such that the information required to be included in our SEC reports is: (i) recorded, processed, summarized and reported within the time periods specified in SEC rules and forms relating to XPO, including our consolidated subsidiaries; and (ii) accumulated and communicated to our management, including our CEO and CFO,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chief executive officer and chief financial officer, we conducted an evaluation of the effectiveness of our internal control over financial reporting as of December 31, 2021,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evaluation, we concluded that our internal control over financial reporting was effective as of December 31, 2021.</w:t>
      </w:r>
    </w:p>
    <w:p>
      <w:pPr>
        <w:spacing w:after="0" w:line="13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December 31, 2021 that have materially affected, or are reasonably likely to materially affect, our internal control over financial reporting.</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February 15, 2022, the Compensation Committee of the Board of Directors of XPO approved an amendment to the terms of the performance-based stock unit awards (“PSU Awards”) held by Brad Jacobs, Mario Harik, and Troy Cooper (collectively, the “Executives”).</w:t>
      </w:r>
    </w:p>
    <w:p>
      <w:pPr>
        <w:spacing w:after="0" w:line="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amendment modifies the clause of the change of control definition applicable to the PSU Awards that is triggered based on eligible transfers of assets with a minimum value or businesses or business lines representing a minimum amount of revenue (i) to increase the applicable transaction thresholds for value of assets and amount of revenue, respectively, from 50% to 75%, in each case, compared to the total asset value on a prior measurement date or total revenue during a prior measurement period and (ii) to clarify that an eligible transfer for purposes of this clause only applies to a transaction or series of transactions with respect to an entire business or business line of XPO, provided that the distribution of 80% or more of the common stock of a subsidiary of XPO that holds an entire business or business line will be included as an eligible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319405</wp:posOffset>
            </wp:positionV>
            <wp:extent cx="325755"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FFFF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Executive entered into a letter agreement with XPO documenting the terms of the amendment. The foregoing summary of the amendments does not purport to be complete and is qualified in its entirety by reference to the full text of the letter agreements, the form of which is filed with this Annual Report as Exhibit 10.17 and is incorporated herein by reference.</w:t>
      </w:r>
    </w:p>
    <w:p>
      <w:pPr>
        <w:spacing w:after="0" w:line="234" w:lineRule="exact"/>
        <w:rPr>
          <w:sz w:val="20"/>
          <w:szCs w:val="20"/>
          <w:color w:val="auto"/>
        </w:rPr>
      </w:pPr>
    </w:p>
    <w:p>
      <w:pPr>
        <w:ind w:right="3220"/>
        <w:spacing w:after="0" w:line="470" w:lineRule="auto"/>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Item 10 of Part III of Form 10-K (other than certain information required by Item 401 of Regulation S-K with respect to our executive officers, which is provided under Item 1, “Business” of Part I of this Annual Report) will be set forth in our definitive Proxy Statement for the 2022 Annual Meeting of Stockholders and is incorporated herein by reference.</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adopted a Code of Business Ethics (the “Code”), which is applicable to our principal executive officer, principal financial officer, principal accounting officer and other senior officers. The Code is available on our website at </w:t>
      </w:r>
      <w:r>
        <w:rPr>
          <w:rFonts w:ascii="Arial" w:cs="Arial" w:eastAsia="Arial" w:hAnsi="Arial"/>
          <w:sz w:val="17"/>
          <w:szCs w:val="17"/>
          <w:u w:val="single" w:color="auto"/>
          <w:color w:val="auto"/>
        </w:rPr>
        <w:t>www.xpo.com</w:t>
      </w:r>
      <w:r>
        <w:rPr>
          <w:rFonts w:ascii="Arial" w:cs="Arial" w:eastAsia="Arial" w:hAnsi="Arial"/>
          <w:sz w:val="17"/>
          <w:szCs w:val="17"/>
          <w:color w:val="auto"/>
        </w:rPr>
        <w:t>, under the heading “Corporate Governance” within the “Investors” tab.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Item 11 of Part III of Form 10-K will be set forth in our Proxy Statement for the 2022 Annual Meeting of Stockholders and is incorporated herein by reference.</w:t>
      </w:r>
    </w:p>
    <w:p>
      <w:pPr>
        <w:spacing w:after="0" w:line="220"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2022 Annual Meeting of Stockholders and is incorporated herein by reference.</w:t>
      </w:r>
    </w:p>
    <w:p>
      <w:pPr>
        <w:spacing w:after="0" w:line="2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2022 Annual Meeting of Stockholders and is incorporated herein by reference.</w:t>
      </w: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Stamford, CT, Auditor ID: 185.</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14 of Part III of Form 10-K will be set forth in our Proxy Statement for the 2022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26"/>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w w:val="93"/>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2.1</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0"/>
              </w:rPr>
            </w:pPr>
            <w:hyperlink r:id="rId314">
              <w:r>
                <w:rPr>
                  <w:rFonts w:ascii="Arial" w:cs="Arial" w:eastAsia="Arial" w:hAnsi="Arial"/>
                  <w:sz w:val="18"/>
                  <w:szCs w:val="18"/>
                  <w:color w:val="0000FF"/>
                  <w:w w:val="90"/>
                </w:rPr>
                <w:t>Investment Agreement, dated June 13, 2011, by and among Jacobs Private Equity, LLC (“JPE”), each of the other investors party thereto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314">
              <w:r>
                <w:rPr>
                  <w:rFonts w:ascii="Arial" w:cs="Arial" w:eastAsia="Arial" w:hAnsi="Arial"/>
                  <w:sz w:val="18"/>
                  <w:szCs w:val="18"/>
                  <w:color w:val="0000FF"/>
                  <w:w w:val="92"/>
                </w:rPr>
                <w:t>and the registrant (incorporated herein by reference to Exhibit 2.1 to the registrant’s Current Report on Form 8-K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June 14, 2011).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2.2</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2"/>
              </w:rPr>
            </w:pPr>
            <w:hyperlink r:id="rId315">
              <w:r>
                <w:rPr>
                  <w:rFonts w:ascii="Arial" w:cs="Arial" w:eastAsia="Arial" w:hAnsi="Arial"/>
                  <w:sz w:val="18"/>
                  <w:szCs w:val="18"/>
                  <w:color w:val="0000FF"/>
                  <w:w w:val="92"/>
                </w:rPr>
                <w:t>Separation and Distribution Agreement, dated August 1, 2021, by and between the registrant and GXO Logistics, Inc. (incorporated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reference to Exhibit 2.1 to the registrant’s Current Report on Form 8-K filed with the SEC on August 3, 2021).</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3.1</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3"/>
              </w:rPr>
            </w:pPr>
            <w:hyperlink r:id="rId316">
              <w:r>
                <w:rPr>
                  <w:rFonts w:ascii="Arial" w:cs="Arial" w:eastAsia="Arial" w:hAnsi="Arial"/>
                  <w:sz w:val="18"/>
                  <w:szCs w:val="18"/>
                  <w:color w:val="0000FF"/>
                  <w:w w:val="93"/>
                </w:rPr>
                <w:t>Amended and Restated Certificate of Incorporation of the registrant, dated May 17, 2005 (incorporated herein by reference to Exhibit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Annual Report on Form 10-K filed with the SEC on March 27, 2008).</w:t>
              </w:r>
            </w:hyperlink>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3.2</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Certificate of Amendment to the Amended and Restated Certificate of Incorporation of the registrant, dated May 31, 2006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herein by reference to Exhibit 3 to the registrant’s Current Report on Form 8-K filed with the SEC on June 7, 2006).</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3.3</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1"/>
              </w:rPr>
            </w:pPr>
            <w:hyperlink r:id="rId318">
              <w:r>
                <w:rPr>
                  <w:rFonts w:ascii="Arial" w:cs="Arial" w:eastAsia="Arial" w:hAnsi="Arial"/>
                  <w:sz w:val="18"/>
                  <w:szCs w:val="18"/>
                  <w:color w:val="0000FF"/>
                  <w:w w:val="91"/>
                </w:rPr>
                <w:t>Certificate of Amendment to the Amended and Restated Certificate of Incorporation of the registrant, dated June 20, 2007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Arial" w:cs="Arial" w:eastAsia="Arial" w:hAnsi="Arial"/>
                <w:sz w:val="18"/>
                <w:szCs w:val="18"/>
                <w:color w:val="0000FF"/>
                <w:w w:val="99"/>
              </w:rPr>
            </w:pPr>
            <w:hyperlink r:id="rId318">
              <w:r>
                <w:rPr>
                  <w:rFonts w:ascii="Arial" w:cs="Arial" w:eastAsia="Arial" w:hAnsi="Arial"/>
                  <w:sz w:val="18"/>
                  <w:szCs w:val="18"/>
                  <w:color w:val="0000FF"/>
                  <w:w w:val="99"/>
                </w:rPr>
                <w:t>herein by reference to Exhibit 3(i) to the registrant’s Quarterly Report on Form 10-Q filed with the SEC on August 14, 2007).</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3.4</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7"/>
              </w:rPr>
            </w:pPr>
            <w:hyperlink r:id="rId319">
              <w:r>
                <w:rPr>
                  <w:rFonts w:ascii="Arial" w:cs="Arial" w:eastAsia="Arial" w:hAnsi="Arial"/>
                  <w:sz w:val="18"/>
                  <w:szCs w:val="18"/>
                  <w:color w:val="0000FF"/>
                  <w:w w:val="97"/>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319">
              <w:r>
                <w:rPr>
                  <w:rFonts w:ascii="Arial" w:cs="Arial" w:eastAsia="Arial" w:hAnsi="Arial"/>
                  <w:sz w:val="18"/>
                  <w:szCs w:val="18"/>
                  <w:color w:val="0000FF"/>
                  <w:w w:val="90"/>
                </w:rPr>
                <w:t>(incorporated herein by reference to Exhibit 3.1 to the registrant’s Current Report on Form 8-K filed with the SEC on September</w:t>
              </w:r>
            </w:hyperlink>
          </w:p>
        </w:tc>
        <w:tc>
          <w:tcPr>
            <w:tcW w:w="740" w:type="dxa"/>
            <w:vAlign w:val="bottom"/>
            <w:gridSpan w:val="14"/>
          </w:tcPr>
          <w:p>
            <w:pPr>
              <w:ind w:left="160"/>
              <w:spacing w:after="0" w:line="156" w:lineRule="exact"/>
              <w:rPr>
                <w:rFonts w:ascii="Arial" w:cs="Arial" w:eastAsia="Arial" w:hAnsi="Arial"/>
                <w:sz w:val="18"/>
                <w:szCs w:val="18"/>
                <w:color w:val="0000FF"/>
                <w:w w:val="93"/>
              </w:rPr>
            </w:pPr>
            <w:hyperlink r:id="rId319">
              <w:r>
                <w:rPr>
                  <w:rFonts w:ascii="Arial" w:cs="Arial" w:eastAsia="Arial" w:hAnsi="Arial"/>
                  <w:sz w:val="18"/>
                  <w:szCs w:val="18"/>
                  <w:color w:val="0000FF"/>
                  <w:w w:val="93"/>
                </w:rPr>
                <w:t>6, 2011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319">
              <w:r>
                <w:rPr>
                  <w:rFonts w:ascii="Arial" w:cs="Arial" w:eastAsia="Arial" w:hAnsi="Arial"/>
                  <w:sz w:val="18"/>
                  <w:szCs w:val="18"/>
                  <w:color w:val="0000FF"/>
                  <w:w w:val="92"/>
                </w:rPr>
                <w:t>(the “September 2011 Form 8-K”)).</w:t>
              </w:r>
            </w:hyperlink>
          </w:p>
        </w:tc>
        <w:tc>
          <w:tcPr>
            <w:tcW w:w="726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3.5</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1"/>
              </w:rPr>
            </w:pPr>
            <w:hyperlink r:id="rId320">
              <w:r>
                <w:rPr>
                  <w:rFonts w:ascii="Arial" w:cs="Arial" w:eastAsia="Arial" w:hAnsi="Arial"/>
                  <w:sz w:val="18"/>
                  <w:szCs w:val="18"/>
                  <w:color w:val="0000FF"/>
                  <w:w w:val="91"/>
                </w:rPr>
                <w:t>Certificate of Amendment to the Amended and Restated Certificate of Incorporation of the registrant, dated May 20, 2015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herein by reference to Exhibit 3.1 to the registrant’s Current Report on Form 8-K filed with the SEC on May 21, 2015).</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3.6</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7"/>
              </w:rPr>
            </w:pPr>
            <w:hyperlink r:id="rId321">
              <w:r>
                <w:rPr>
                  <w:rFonts w:ascii="Arial" w:cs="Arial" w:eastAsia="Arial" w:hAnsi="Arial"/>
                  <w:sz w:val="18"/>
                  <w:szCs w:val="18"/>
                  <w:color w:val="0000FF"/>
                  <w:w w:val="97"/>
                </w:rPr>
                <w:t>Certificate of Amendment to the Amended and Restated Certificate of Incorporation of the registrant, dated September 8, 2015</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321">
              <w:r>
                <w:rPr>
                  <w:rFonts w:ascii="Arial" w:cs="Arial" w:eastAsia="Arial" w:hAnsi="Arial"/>
                  <w:sz w:val="18"/>
                  <w:szCs w:val="18"/>
                  <w:color w:val="0000FF"/>
                  <w:w w:val="90"/>
                </w:rPr>
                <w:t>(incorporated herein by reference to Exhibit 3.1 to the registrant’s Current Report on Form 8-K filed with the SEC on September</w:t>
              </w:r>
            </w:hyperlink>
          </w:p>
        </w:tc>
        <w:tc>
          <w:tcPr>
            <w:tcW w:w="300" w:type="dxa"/>
            <w:vAlign w:val="bottom"/>
            <w:gridSpan w:val="4"/>
          </w:tcPr>
          <w:p>
            <w:pPr>
              <w:ind w:left="140"/>
              <w:spacing w:after="0" w:line="156" w:lineRule="exact"/>
              <w:rPr>
                <w:rFonts w:ascii="Arial" w:cs="Arial" w:eastAsia="Arial" w:hAnsi="Arial"/>
                <w:sz w:val="18"/>
                <w:szCs w:val="18"/>
                <w:color w:val="0000FF"/>
                <w:w w:val="92"/>
              </w:rPr>
            </w:pPr>
            <w:hyperlink r:id="rId321">
              <w:r>
                <w:rPr>
                  <w:rFonts w:ascii="Arial" w:cs="Arial" w:eastAsia="Arial" w:hAnsi="Arial"/>
                  <w:sz w:val="18"/>
                  <w:szCs w:val="18"/>
                  <w:color w:val="0000FF"/>
                  <w:w w:val="92"/>
                </w:rPr>
                <w:t>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21">
              <w:r>
                <w:rPr>
                  <w:rFonts w:ascii="Arial" w:cs="Arial" w:eastAsia="Arial" w:hAnsi="Arial"/>
                  <w:sz w:val="18"/>
                  <w:szCs w:val="18"/>
                  <w:color w:val="0000FF"/>
                  <w:w w:val="86"/>
                </w:rPr>
                <w:t>2015).</w:t>
              </w:r>
            </w:hyperlink>
          </w:p>
        </w:tc>
        <w:tc>
          <w:tcPr>
            <w:tcW w:w="6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3.7</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4"/>
              </w:rPr>
            </w:pPr>
            <w:hyperlink r:id="rId322">
              <w:r>
                <w:rPr>
                  <w:rFonts w:ascii="Arial" w:cs="Arial" w:eastAsia="Arial" w:hAnsi="Arial"/>
                  <w:sz w:val="18"/>
                  <w:szCs w:val="18"/>
                  <w:color w:val="0000FF"/>
                  <w:w w:val="94"/>
                </w:rPr>
                <w:t>2nd Amended and Restated Bylaws of the registrant, dated August 30, 2007 (incorporated herein by reference to Exhibit 3(ii)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322">
              <w:r>
                <w:rPr>
                  <w:rFonts w:ascii="Arial" w:cs="Arial" w:eastAsia="Arial" w:hAnsi="Arial"/>
                  <w:sz w:val="18"/>
                  <w:szCs w:val="18"/>
                  <w:color w:val="0000FF"/>
                  <w:w w:val="91"/>
                </w:rPr>
                <w:t>registrant’s Current Report on Form 8-K/A filed with the SEC on September 14, 2007).</w:t>
              </w:r>
            </w:hyperlink>
          </w:p>
        </w:tc>
        <w:tc>
          <w:tcPr>
            <w:tcW w:w="318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3.8</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6"/>
              </w:rPr>
            </w:pPr>
            <w:hyperlink r:id="rId323">
              <w:r>
                <w:rPr>
                  <w:rFonts w:ascii="Arial" w:cs="Arial" w:eastAsia="Arial" w:hAnsi="Arial"/>
                  <w:sz w:val="18"/>
                  <w:szCs w:val="18"/>
                  <w:color w:val="0000FF"/>
                  <w:w w:val="96"/>
                </w:rPr>
                <w:t>Text of Amendments to the 2nd Amended and Restated Bylaws of the registrant, adopted May 19, 2015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reference to Exhibit 3.2 to the registrant’s Current Report on Form 8-K filed with the SEC on May 21, 2015).</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3.9</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6"/>
              </w:rPr>
            </w:pPr>
            <w:hyperlink r:id="rId324">
              <w:r>
                <w:rPr>
                  <w:rFonts w:ascii="Arial" w:cs="Arial" w:eastAsia="Arial" w:hAnsi="Arial"/>
                  <w:sz w:val="18"/>
                  <w:szCs w:val="18"/>
                  <w:color w:val="0000FF"/>
                  <w:w w:val="96"/>
                </w:rPr>
                <w:t>Text of Amendment to the 2nd Amended and Restated Bylaws of the registrant, adopted March 14, 2017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reference to Exhibit 3.1 to the registrant’s Current Report on Form 8-K filed with the SEC on March 17, 2017).</w:t>
              </w:r>
            </w:hyperlink>
          </w:p>
        </w:tc>
        <w:tc>
          <w:tcPr>
            <w:tcW w:w="2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4.1</w:t>
            </w:r>
          </w:p>
        </w:tc>
        <w:tc>
          <w:tcPr>
            <w:tcW w:w="480" w:type="dxa"/>
            <w:vAlign w:val="bottom"/>
          </w:tcPr>
          <w:p>
            <w:pPr>
              <w:spacing w:after="0"/>
              <w:rPr>
                <w:sz w:val="22"/>
                <w:szCs w:val="22"/>
                <w:color w:val="auto"/>
              </w:rPr>
            </w:pPr>
          </w:p>
        </w:tc>
        <w:tc>
          <w:tcPr>
            <w:tcW w:w="9880" w:type="dxa"/>
            <w:vAlign w:val="bottom"/>
            <w:gridSpan w:val="32"/>
          </w:tcPr>
          <w:p>
            <w:pPr>
              <w:spacing w:after="0"/>
              <w:rPr>
                <w:rFonts w:ascii="Arial" w:cs="Arial" w:eastAsia="Arial" w:hAnsi="Arial"/>
                <w:sz w:val="18"/>
                <w:szCs w:val="18"/>
                <w:color w:val="0000FF"/>
                <w:w w:val="93"/>
              </w:rPr>
            </w:pPr>
            <w:hyperlink r:id="rId325">
              <w:r>
                <w:rPr>
                  <w:rFonts w:ascii="Arial" w:cs="Arial" w:eastAsia="Arial" w:hAnsi="Arial"/>
                  <w:sz w:val="18"/>
                  <w:szCs w:val="18"/>
                  <w:color w:val="0000FF"/>
                  <w:w w:val="93"/>
                </w:rPr>
                <w:t>Certificate of Designation of Series A Convertible Perpetual Preferred Stock of the registrant, dated September 2, 2011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25">
              <w:r>
                <w:rPr>
                  <w:rFonts w:ascii="Arial" w:cs="Arial" w:eastAsia="Arial" w:hAnsi="Arial"/>
                  <w:sz w:val="18"/>
                  <w:szCs w:val="18"/>
                  <w:color w:val="0000FF"/>
                </w:rPr>
                <w:t>herein by reference to Exhibit 4.1 to the September 2011 Form 8-K).</w:t>
              </w:r>
            </w:hyperlink>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641"/>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4"/>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Arial" w:cs="Arial" w:eastAsia="Arial" w:hAnsi="Arial"/>
                <w:sz w:val="18"/>
                <w:szCs w:val="18"/>
                <w:color w:val="FFFFFF"/>
              </w:rPr>
              <w:t>104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gridSpan w:val="3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15" w:lineRule="exact"/>
              <w:rPr>
                <w:sz w:val="20"/>
                <w:szCs w:val="20"/>
                <w:color w:val="auto"/>
              </w:rPr>
            </w:pPr>
            <w:r>
              <w:rPr>
                <w:rFonts w:ascii="Arial" w:cs="Arial" w:eastAsia="Arial" w:hAnsi="Arial"/>
                <w:sz w:val="13"/>
                <w:szCs w:val="13"/>
                <w:b w:val="1"/>
                <w:bCs w:val="1"/>
                <w:color w:val="auto"/>
                <w:w w:val="89"/>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60" w:type="dxa"/>
            <w:vAlign w:val="bottom"/>
            <w:gridSpan w:val="3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0" w:type="dxa"/>
            <w:vAlign w:val="bottom"/>
          </w:tcPr>
          <w:p>
            <w:pPr>
              <w:spacing w:after="0"/>
              <w:rPr>
                <w:sz w:val="24"/>
                <w:szCs w:val="2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4.2</w:t>
            </w:r>
          </w:p>
        </w:tc>
        <w:tc>
          <w:tcPr>
            <w:tcW w:w="480" w:type="dxa"/>
            <w:vAlign w:val="bottom"/>
          </w:tcPr>
          <w:p>
            <w:pPr>
              <w:spacing w:after="0"/>
              <w:rPr>
                <w:sz w:val="24"/>
                <w:szCs w:val="24"/>
                <w:color w:val="auto"/>
              </w:rPr>
            </w:pPr>
          </w:p>
        </w:tc>
        <w:tc>
          <w:tcPr>
            <w:tcW w:w="8020" w:type="dxa"/>
            <w:vAlign w:val="bottom"/>
            <w:tcBorders>
              <w:bottom w:val="single" w:sz="8" w:color="0000FF"/>
            </w:tcBorders>
            <w:gridSpan w:val="15"/>
          </w:tcPr>
          <w:p>
            <w:pPr>
              <w:spacing w:after="0"/>
              <w:rPr>
                <w:rFonts w:ascii="Arial" w:cs="Arial" w:eastAsia="Arial" w:hAnsi="Arial"/>
                <w:sz w:val="18"/>
                <w:szCs w:val="18"/>
                <w:color w:val="0000FF"/>
                <w:w w:val="91"/>
              </w:rPr>
            </w:pPr>
            <w:hyperlink r:id="rId328">
              <w:r>
                <w:rPr>
                  <w:rFonts w:ascii="Arial" w:cs="Arial" w:eastAsia="Arial" w:hAnsi="Arial"/>
                  <w:sz w:val="18"/>
                  <w:szCs w:val="18"/>
                  <w:color w:val="0000FF"/>
                  <w:w w:val="91"/>
                </w:rPr>
                <w:t>Form of Warrant Certificate (incorporated herein by reference to Exhibit 4.2 to the September 2011 Form 8-K).</w:t>
              </w:r>
            </w:hyperlink>
          </w:p>
        </w:tc>
        <w:tc>
          <w:tcPr>
            <w:tcW w:w="18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4.3</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0"/>
              </w:rPr>
            </w:pPr>
            <w:hyperlink r:id="rId329">
              <w:r>
                <w:rPr>
                  <w:rFonts w:ascii="Arial" w:cs="Arial" w:eastAsia="Arial" w:hAnsi="Arial"/>
                  <w:sz w:val="18"/>
                  <w:szCs w:val="18"/>
                  <w:color w:val="0000FF"/>
                  <w:w w:val="90"/>
                </w:rPr>
                <w:t>Registration Rights Agreement, dated September 2, 2011, by and among JPE, each of the other holders and designated secured lenders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329">
              <w:r>
                <w:rPr>
                  <w:rFonts w:ascii="Arial" w:cs="Arial" w:eastAsia="Arial" w:hAnsi="Arial"/>
                  <w:sz w:val="18"/>
                  <w:szCs w:val="18"/>
                  <w:color w:val="0000FF"/>
                  <w:w w:val="90"/>
                </w:rPr>
                <w:t>party thereto and the registrant (incorporated herein by reference to Exhibit 4.3 to the September 2011 Form 8-K).</w:t>
              </w:r>
            </w:hyperlink>
          </w:p>
        </w:tc>
        <w:tc>
          <w:tcPr>
            <w:tcW w:w="14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4.4</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2"/>
              </w:rPr>
            </w:pPr>
            <w:hyperlink r:id="rId330">
              <w:r>
                <w:rPr>
                  <w:rFonts w:ascii="Arial" w:cs="Arial" w:eastAsia="Arial" w:hAnsi="Arial"/>
                  <w:sz w:val="18"/>
                  <w:szCs w:val="18"/>
                  <w:color w:val="0000FF"/>
                  <w:w w:val="92"/>
                </w:rPr>
                <w:t>Certificate of Designation of Series B Convertible Perpetual Preferred Stock of the registrant, dated September 16, 2014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330">
              <w:r>
                <w:rPr>
                  <w:rFonts w:ascii="Arial" w:cs="Arial" w:eastAsia="Arial" w:hAnsi="Arial"/>
                  <w:sz w:val="18"/>
                  <w:szCs w:val="18"/>
                  <w:color w:val="0000FF"/>
                  <w:w w:val="97"/>
                </w:rPr>
                <w:t>herein by reference to Exhibit 4.1 to the registrant’s Current Report on Form 8-K filed with the SEC on September 18, 2014).</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4.5</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0"/>
              </w:rPr>
            </w:pPr>
            <w:hyperlink r:id="rId331">
              <w:r>
                <w:rPr>
                  <w:rFonts w:ascii="Arial" w:cs="Arial" w:eastAsia="Arial" w:hAnsi="Arial"/>
                  <w:sz w:val="18"/>
                  <w:szCs w:val="18"/>
                  <w:color w:val="0000FF"/>
                  <w:w w:val="90"/>
                </w:rPr>
                <w:t>Certificate of Designation of Series C Convertible Perpetual Preferred Stock of the registrant, dated June 3, 2015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331">
              <w:r>
                <w:rPr>
                  <w:rFonts w:ascii="Arial" w:cs="Arial" w:eastAsia="Arial" w:hAnsi="Arial"/>
                  <w:sz w:val="18"/>
                  <w:szCs w:val="18"/>
                  <w:color w:val="0000FF"/>
                  <w:w w:val="91"/>
                </w:rPr>
                <w:t>reference to Exhibit 4.2 to the registrant’s Amendment No. 1 to Current Report on Form 8-K/A filed with the SEC on June 26, 2015).</w:t>
              </w:r>
            </w:hyperlink>
          </w:p>
        </w:tc>
        <w:tc>
          <w:tcPr>
            <w:tcW w:w="2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4.6</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5"/>
              </w:rPr>
            </w:pPr>
            <w:hyperlink r:id="rId332">
              <w:r>
                <w:rPr>
                  <w:rFonts w:ascii="Arial" w:cs="Arial" w:eastAsia="Arial" w:hAnsi="Arial"/>
                  <w:sz w:val="18"/>
                  <w:szCs w:val="18"/>
                  <w:color w:val="0000FF"/>
                  <w:w w:val="95"/>
                </w:rPr>
                <w:t>Description of Common Stock (incorporated herein by reference to Exhibit 4.9 to the registrant’s Annual Report on Form 10-K filed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32">
              <w:r>
                <w:rPr>
                  <w:rFonts w:ascii="Arial" w:cs="Arial" w:eastAsia="Arial" w:hAnsi="Arial"/>
                  <w:sz w:val="18"/>
                  <w:szCs w:val="18"/>
                  <w:color w:val="0000FF"/>
                </w:rPr>
                <w:t>with the SEC on February 10, 2020).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4.7</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7"/>
              </w:rPr>
            </w:pPr>
            <w:hyperlink r:id="rId333">
              <w:r>
                <w:rPr>
                  <w:rFonts w:ascii="Arial" w:cs="Arial" w:eastAsia="Arial" w:hAnsi="Arial"/>
                  <w:sz w:val="18"/>
                  <w:szCs w:val="18"/>
                  <w:color w:val="0000FF"/>
                  <w:w w:val="97"/>
                </w:rPr>
                <w:t>Indenture, dated August 25, 2016, between the registrant, the guarantors party thereto and The Bank of New York Mellon Trust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22"/>
          </w:tcPr>
          <w:p>
            <w:pPr>
              <w:spacing w:after="0" w:line="156" w:lineRule="exact"/>
              <w:rPr>
                <w:rFonts w:ascii="Arial" w:cs="Arial" w:eastAsia="Arial" w:hAnsi="Arial"/>
                <w:sz w:val="18"/>
                <w:szCs w:val="18"/>
                <w:color w:val="0000FF"/>
                <w:w w:val="90"/>
              </w:rPr>
            </w:pPr>
            <w:hyperlink r:id="rId333">
              <w:r>
                <w:rPr>
                  <w:rFonts w:ascii="Arial" w:cs="Arial" w:eastAsia="Arial" w:hAnsi="Arial"/>
                  <w:sz w:val="18"/>
                  <w:szCs w:val="18"/>
                  <w:color w:val="0000FF"/>
                  <w:w w:val="90"/>
                </w:rPr>
                <w:t>Company, N.A., as Trustee (incorporated herein by reference to Exhibit 4.1 to the registrant’s Current Report on Form 8-K filed</w:t>
              </w:r>
            </w:hyperlink>
          </w:p>
        </w:tc>
        <w:tc>
          <w:tcPr>
            <w:tcW w:w="700" w:type="dxa"/>
            <w:vAlign w:val="bottom"/>
            <w:gridSpan w:val="18"/>
          </w:tcPr>
          <w:p>
            <w:pPr>
              <w:ind w:left="80"/>
              <w:spacing w:after="0" w:line="156" w:lineRule="exact"/>
              <w:rPr>
                <w:rFonts w:ascii="Arial" w:cs="Arial" w:eastAsia="Arial" w:hAnsi="Arial"/>
                <w:sz w:val="18"/>
                <w:szCs w:val="18"/>
                <w:color w:val="0000FF"/>
                <w:w w:val="96"/>
              </w:rPr>
            </w:pPr>
            <w:hyperlink r:id="rId333">
              <w:r>
                <w:rPr>
                  <w:rFonts w:ascii="Arial" w:cs="Arial" w:eastAsia="Arial" w:hAnsi="Arial"/>
                  <w:sz w:val="18"/>
                  <w:szCs w:val="18"/>
                  <w:color w:val="0000FF"/>
                  <w:w w:val="96"/>
                </w:rPr>
                <w:t>with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SEC on August 26, 2016).</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4.8</w:t>
            </w:r>
          </w:p>
        </w:tc>
        <w:tc>
          <w:tcPr>
            <w:tcW w:w="480" w:type="dxa"/>
            <w:vAlign w:val="bottom"/>
          </w:tcPr>
          <w:p>
            <w:pPr>
              <w:spacing w:after="0"/>
              <w:rPr>
                <w:sz w:val="22"/>
                <w:szCs w:val="22"/>
                <w:color w:val="auto"/>
              </w:rPr>
            </w:pPr>
          </w:p>
        </w:tc>
        <w:tc>
          <w:tcPr>
            <w:tcW w:w="9080" w:type="dxa"/>
            <w:vAlign w:val="bottom"/>
            <w:tcBorders>
              <w:bottom w:val="single" w:sz="8" w:color="0000FF"/>
            </w:tcBorders>
            <w:gridSpan w:val="21"/>
          </w:tcPr>
          <w:p>
            <w:pPr>
              <w:spacing w:after="0"/>
              <w:rPr>
                <w:rFonts w:ascii="Arial" w:cs="Arial" w:eastAsia="Arial" w:hAnsi="Arial"/>
                <w:sz w:val="18"/>
                <w:szCs w:val="18"/>
                <w:color w:val="0000FF"/>
                <w:w w:val="89"/>
              </w:rPr>
            </w:pPr>
            <w:hyperlink r:id="rId334">
              <w:r>
                <w:rPr>
                  <w:rFonts w:ascii="Arial" w:cs="Arial" w:eastAsia="Arial" w:hAnsi="Arial"/>
                  <w:sz w:val="18"/>
                  <w:szCs w:val="18"/>
                  <w:color w:val="0000FF"/>
                  <w:w w:val="89"/>
                </w:rPr>
                <w:t>Indenture, dated February 22, 2019, by and among the registrant, the guarantors party thereto and Wells Fargo Bank, National</w:t>
              </w:r>
            </w:hyperlink>
          </w:p>
        </w:tc>
        <w:tc>
          <w:tcPr>
            <w:tcW w:w="8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40"/>
          </w:tcPr>
          <w:p>
            <w:pPr>
              <w:spacing w:after="0" w:line="156" w:lineRule="exact"/>
              <w:rPr>
                <w:rFonts w:ascii="Arial" w:cs="Arial" w:eastAsia="Arial" w:hAnsi="Arial"/>
                <w:sz w:val="18"/>
                <w:szCs w:val="18"/>
                <w:color w:val="0000FF"/>
                <w:w w:val="94"/>
              </w:rPr>
            </w:pPr>
            <w:hyperlink r:id="rId334">
              <w:r>
                <w:rPr>
                  <w:rFonts w:ascii="Arial" w:cs="Arial" w:eastAsia="Arial" w:hAnsi="Arial"/>
                  <w:sz w:val="18"/>
                  <w:szCs w:val="18"/>
                  <w:color w:val="0000FF"/>
                  <w:w w:val="94"/>
                </w:rPr>
                <w:t>Association, as Trustee (incorporated herein by reference to Exhibit 4.1 to the registrant’s Current Report on Form 8-K filed with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334">
              <w:r>
                <w:rPr>
                  <w:rFonts w:ascii="Arial" w:cs="Arial" w:eastAsia="Arial" w:hAnsi="Arial"/>
                  <w:sz w:val="18"/>
                  <w:szCs w:val="18"/>
                  <w:color w:val="0000FF"/>
                  <w:w w:val="89"/>
                </w:rPr>
                <w:t>SEC on February 22, 2019).</w:t>
              </w:r>
            </w:hyperlink>
          </w:p>
        </w:tc>
        <w:tc>
          <w:tcPr>
            <w:tcW w:w="7520" w:type="dxa"/>
            <w:vAlign w:val="bottom"/>
            <w:tcBorders>
              <w:top w:val="single" w:sz="8" w:color="0000FF"/>
            </w:tcBorders>
            <w:gridSpan w:val="2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87"/>
              </w:rPr>
              <w:t>4.9</w:t>
            </w:r>
          </w:p>
        </w:tc>
        <w:tc>
          <w:tcPr>
            <w:tcW w:w="480" w:type="dxa"/>
            <w:vAlign w:val="bottom"/>
          </w:tcPr>
          <w:p>
            <w:pPr>
              <w:spacing w:after="0"/>
              <w:rPr>
                <w:sz w:val="22"/>
                <w:szCs w:val="22"/>
                <w:color w:val="auto"/>
              </w:rPr>
            </w:pPr>
          </w:p>
        </w:tc>
        <w:tc>
          <w:tcPr>
            <w:tcW w:w="9520" w:type="dxa"/>
            <w:vAlign w:val="bottom"/>
            <w:tcBorders>
              <w:bottom w:val="single" w:sz="8" w:color="0000FF"/>
            </w:tcBorders>
            <w:gridSpan w:val="27"/>
          </w:tcPr>
          <w:p>
            <w:pPr>
              <w:spacing w:after="0"/>
              <w:rPr>
                <w:rFonts w:ascii="Arial" w:cs="Arial" w:eastAsia="Arial" w:hAnsi="Arial"/>
                <w:sz w:val="18"/>
                <w:szCs w:val="18"/>
                <w:color w:val="0000FF"/>
                <w:w w:val="90"/>
              </w:rPr>
            </w:pPr>
            <w:hyperlink r:id="rId335">
              <w:r>
                <w:rPr>
                  <w:rFonts w:ascii="Arial" w:cs="Arial" w:eastAsia="Arial" w:hAnsi="Arial"/>
                  <w:sz w:val="18"/>
                  <w:szCs w:val="18"/>
                  <w:color w:val="0000FF"/>
                  <w:w w:val="90"/>
                </w:rPr>
                <w:t>Indenture, dated April 28, 2020, between the registrant, the guarantors party thereto and Wells Fargo Bank, National Association, as</w:t>
              </w:r>
            </w:hyperlink>
          </w:p>
        </w:tc>
        <w:tc>
          <w:tcPr>
            <w:tcW w:w="36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40"/>
          </w:tcPr>
          <w:p>
            <w:pPr>
              <w:spacing w:after="0" w:line="156" w:lineRule="exact"/>
              <w:rPr>
                <w:rFonts w:ascii="Arial" w:cs="Arial" w:eastAsia="Arial" w:hAnsi="Arial"/>
                <w:sz w:val="18"/>
                <w:szCs w:val="18"/>
                <w:color w:val="0000FF"/>
                <w:w w:val="94"/>
              </w:rPr>
            </w:pPr>
            <w:hyperlink r:id="rId335">
              <w:r>
                <w:rPr>
                  <w:rFonts w:ascii="Arial" w:cs="Arial" w:eastAsia="Arial" w:hAnsi="Arial"/>
                  <w:sz w:val="18"/>
                  <w:szCs w:val="18"/>
                  <w:color w:val="0000FF"/>
                  <w:w w:val="94"/>
                </w:rPr>
                <w:t>Trustee (incorporated herein by reference to Exhibit 4.1 to the registrant’s current report on Form 8-K filed with the SEC on April 28,</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335">
              <w:r>
                <w:rPr>
                  <w:rFonts w:ascii="Arial" w:cs="Arial" w:eastAsia="Arial" w:hAnsi="Arial"/>
                  <w:sz w:val="18"/>
                  <w:szCs w:val="18"/>
                  <w:color w:val="0000FF"/>
                  <w:w w:val="90"/>
                </w:rPr>
                <w:t>2020).</w:t>
              </w:r>
            </w:hyperlink>
          </w:p>
        </w:tc>
        <w:tc>
          <w:tcPr>
            <w:tcW w:w="1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10.1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5"/>
              </w:rPr>
            </w:pPr>
            <w:hyperlink r:id="rId314">
              <w:r>
                <w:rPr>
                  <w:rFonts w:ascii="Arial" w:cs="Arial" w:eastAsia="Arial" w:hAnsi="Arial"/>
                  <w:sz w:val="18"/>
                  <w:szCs w:val="18"/>
                  <w:color w:val="0000FF"/>
                  <w:w w:val="95"/>
                </w:rPr>
                <w:t>2011 Omnibus Incentive Compensation Plan (incorporated herein by reference to Exhibit D to Exhibit 2.1 to the registrant’s current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report on Form 8-K filed with the SEC on June 14, 2011).</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10.2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2"/>
              </w:rPr>
            </w:pPr>
            <w:hyperlink r:id="rId336">
              <w:r>
                <w:rPr>
                  <w:rFonts w:ascii="Arial" w:cs="Arial" w:eastAsia="Arial" w:hAnsi="Arial"/>
                  <w:sz w:val="18"/>
                  <w:szCs w:val="18"/>
                  <w:color w:val="0000FF"/>
                  <w:w w:val="92"/>
                </w:rPr>
                <w:t>Form of Option Award Agreement (2011 Omnibus Incentive Compensation Plan) (incorporated herein by reference to Exhibit 10.20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the registrant’s Annual Report on Form 10-K filed with the SEC on March 1, 2012).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10.3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rPr>
            </w:pPr>
            <w:hyperlink r:id="rId337">
              <w:r>
                <w:rPr>
                  <w:rFonts w:ascii="Arial" w:cs="Arial" w:eastAsia="Arial" w:hAnsi="Arial"/>
                  <w:sz w:val="18"/>
                  <w:szCs w:val="18"/>
                  <w:color w:val="0000FF"/>
                </w:rPr>
                <w:t>Form of Restricted Stock Unit Award Agreement for Non-Employee Directors (2011 Omnibus Incentive Compensation Plan)</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40"/>
          </w:tcPr>
          <w:p>
            <w:pPr>
              <w:spacing w:after="0" w:line="156" w:lineRule="exact"/>
              <w:rPr>
                <w:rFonts w:ascii="Arial" w:cs="Arial" w:eastAsia="Arial" w:hAnsi="Arial"/>
                <w:sz w:val="18"/>
                <w:szCs w:val="18"/>
                <w:color w:val="0000FF"/>
                <w:w w:val="96"/>
              </w:rPr>
            </w:pPr>
            <w:hyperlink r:id="rId337">
              <w:r>
                <w:rPr>
                  <w:rFonts w:ascii="Arial" w:cs="Arial" w:eastAsia="Arial" w:hAnsi="Arial"/>
                  <w:sz w:val="18"/>
                  <w:szCs w:val="18"/>
                  <w:color w:val="0000FF"/>
                  <w:w w:val="96"/>
                </w:rPr>
                <w:t>(incorporated herein by reference to Exhibit 10.21 to the registrant’s Annual Report on Form 10-K filed with the SEC on March 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337">
              <w:r>
                <w:rPr>
                  <w:rFonts w:ascii="Arial" w:cs="Arial" w:eastAsia="Arial" w:hAnsi="Arial"/>
                  <w:sz w:val="18"/>
                  <w:szCs w:val="18"/>
                  <w:color w:val="0000FF"/>
                  <w:w w:val="90"/>
                </w:rPr>
                <w:t>2012).</w:t>
              </w:r>
            </w:hyperlink>
          </w:p>
        </w:tc>
        <w:tc>
          <w:tcPr>
            <w:tcW w:w="1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10.4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2"/>
              </w:rPr>
            </w:pPr>
            <w:hyperlink r:id="rId338">
              <w:r>
                <w:rPr>
                  <w:rFonts w:ascii="Arial" w:cs="Arial" w:eastAsia="Arial" w:hAnsi="Arial"/>
                  <w:sz w:val="18"/>
                  <w:szCs w:val="18"/>
                  <w:color w:val="0000FF"/>
                  <w:w w:val="92"/>
                </w:rPr>
                <w:t>Amended and Restated 2011 Omnibus Incentive Compensation Plan (incorporated herein by reference to Exhibit A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definitive proxy statement on Schedule 14A filed with the SEC on April 27, 2012).</w:t>
              </w:r>
            </w:hyperlink>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10.5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2"/>
              </w:rPr>
            </w:pPr>
            <w:hyperlink r:id="rId339">
              <w:r>
                <w:rPr>
                  <w:rFonts w:ascii="Arial" w:cs="Arial" w:eastAsia="Arial" w:hAnsi="Arial"/>
                  <w:sz w:val="18"/>
                  <w:szCs w:val="18"/>
                  <w:color w:val="0000FF"/>
                  <w:w w:val="92"/>
                </w:rPr>
                <w:t>Form of Restricted Stock Unit Award Agreement (Amended and Restated 2011 Omnibus Incentive Compensation Plan)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39">
              <w:r>
                <w:rPr>
                  <w:rFonts w:ascii="Arial" w:cs="Arial" w:eastAsia="Arial" w:hAnsi="Arial"/>
                  <w:sz w:val="18"/>
                  <w:szCs w:val="18"/>
                  <w:color w:val="0000FF"/>
                  <w:w w:val="91"/>
                </w:rPr>
                <w:t>herein by reference to Exhibit 10.2 to the registrant’s Current Report on Form 8-K filed with the SEC on March 20, 2014).</w:t>
              </w:r>
            </w:hyperlink>
          </w:p>
        </w:tc>
        <w:tc>
          <w:tcPr>
            <w:tcW w:w="840" w:type="dxa"/>
            <w:vAlign w:val="bottom"/>
            <w:tcBorders>
              <w:top w:val="single" w:sz="8" w:color="0000FF"/>
            </w:tcBorders>
            <w:gridSpan w:val="15"/>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10.6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1"/>
              </w:rPr>
            </w:pPr>
            <w:hyperlink r:id="rId340">
              <w:r>
                <w:rPr>
                  <w:rFonts w:ascii="Arial" w:cs="Arial" w:eastAsia="Arial" w:hAnsi="Arial"/>
                  <w:sz w:val="18"/>
                  <w:szCs w:val="18"/>
                  <w:color w:val="0000FF"/>
                  <w:w w:val="91"/>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340">
              <w:r>
                <w:rPr>
                  <w:rFonts w:ascii="Arial" w:cs="Arial" w:eastAsia="Arial" w:hAnsi="Arial"/>
                  <w:sz w:val="18"/>
                  <w:szCs w:val="18"/>
                  <w:color w:val="0000FF"/>
                  <w:w w:val="91"/>
                </w:rPr>
                <w:t>on Schedule 14A filed with the SEC on November 21, 2016).</w:t>
              </w:r>
            </w:hyperlink>
          </w:p>
        </w:tc>
        <w:tc>
          <w:tcPr>
            <w:tcW w:w="5360" w:type="dxa"/>
            <w:vAlign w:val="bottom"/>
            <w:tcBorders>
              <w:top w:val="single" w:sz="8" w:color="0000FF"/>
            </w:tcBorders>
            <w:gridSpan w:val="2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10.7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rPr>
            </w:pPr>
            <w:hyperlink r:id="rId341">
              <w:r>
                <w:rPr>
                  <w:rFonts w:ascii="Arial" w:cs="Arial" w:eastAsia="Arial" w:hAnsi="Arial"/>
                  <w:sz w:val="18"/>
                  <w:szCs w:val="18"/>
                  <w:color w:val="0000FF"/>
                </w:rPr>
                <w:t>Form of Restricted Stock Unit Award Agreement for Non-Employee Directors (2016 Omnibus Incentive Compensation Plan)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341">
              <w:r>
                <w:rPr>
                  <w:rFonts w:ascii="Arial" w:cs="Arial" w:eastAsia="Arial" w:hAnsi="Arial"/>
                  <w:sz w:val="18"/>
                  <w:szCs w:val="18"/>
                  <w:color w:val="0000FF"/>
                  <w:w w:val="91"/>
                </w:rPr>
                <w:t>(incorporated herein by reference to Exhibit 10.17 to registrant’s Annual Report on Form 10-K filed with the SEC on February</w:t>
              </w:r>
            </w:hyperlink>
          </w:p>
        </w:tc>
        <w:tc>
          <w:tcPr>
            <w:tcW w:w="340" w:type="dxa"/>
            <w:vAlign w:val="bottom"/>
            <w:tcBorders>
              <w:bottom w:val="single" w:sz="8" w:color="0000FF"/>
            </w:tcBorders>
            <w:gridSpan w:val="3"/>
          </w:tcPr>
          <w:p>
            <w:pPr>
              <w:jc w:val="right"/>
              <w:spacing w:after="0" w:line="156" w:lineRule="exact"/>
              <w:rPr>
                <w:rFonts w:ascii="Arial" w:cs="Arial" w:eastAsia="Arial" w:hAnsi="Arial"/>
                <w:sz w:val="18"/>
                <w:szCs w:val="18"/>
                <w:color w:val="0000FF"/>
              </w:rPr>
            </w:pPr>
            <w:hyperlink r:id="rId341">
              <w:r>
                <w:rPr>
                  <w:rFonts w:ascii="Arial" w:cs="Arial" w:eastAsia="Arial" w:hAnsi="Arial"/>
                  <w:sz w:val="18"/>
                  <w:szCs w:val="18"/>
                  <w:color w:val="0000FF"/>
                </w:rPr>
                <w:t>28,</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0"/>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341">
              <w:r>
                <w:rPr>
                  <w:rFonts w:ascii="Arial" w:cs="Arial" w:eastAsia="Arial" w:hAnsi="Arial"/>
                  <w:sz w:val="18"/>
                  <w:szCs w:val="18"/>
                  <w:color w:val="0000FF"/>
                  <w:w w:val="90"/>
                </w:rPr>
                <w:t>2017).</w:t>
              </w:r>
            </w:hyperlink>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10.8 +</w:t>
            </w:r>
          </w:p>
        </w:tc>
        <w:tc>
          <w:tcPr>
            <w:tcW w:w="480" w:type="dxa"/>
            <w:vAlign w:val="bottom"/>
          </w:tcPr>
          <w:p>
            <w:pPr>
              <w:spacing w:after="0"/>
              <w:rPr>
                <w:sz w:val="22"/>
                <w:szCs w:val="22"/>
                <w:color w:val="auto"/>
              </w:rPr>
            </w:pPr>
          </w:p>
        </w:tc>
        <w:tc>
          <w:tcPr>
            <w:tcW w:w="9880" w:type="dxa"/>
            <w:vAlign w:val="bottom"/>
            <w:gridSpan w:val="40"/>
          </w:tcPr>
          <w:p>
            <w:pPr>
              <w:spacing w:after="0"/>
              <w:rPr>
                <w:rFonts w:ascii="Arial" w:cs="Arial" w:eastAsia="Arial" w:hAnsi="Arial"/>
                <w:sz w:val="18"/>
                <w:szCs w:val="18"/>
                <w:color w:val="0000FF"/>
                <w:w w:val="93"/>
              </w:rPr>
            </w:pPr>
            <w:hyperlink r:id="rId342">
              <w:r>
                <w:rPr>
                  <w:rFonts w:ascii="Arial" w:cs="Arial" w:eastAsia="Arial" w:hAnsi="Arial"/>
                  <w:sz w:val="18"/>
                  <w:szCs w:val="18"/>
                  <w:color w:val="0000FF"/>
                  <w:w w:val="93"/>
                </w:rPr>
                <w:t>Performance-Based Restricted Stock Unit Award Agreement, dated August 9, 2018, between the registrant and Sarah J.S. Glickman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6" w:lineRule="exact"/>
              <w:rPr>
                <w:rFonts w:ascii="Arial" w:cs="Arial" w:eastAsia="Arial" w:hAnsi="Arial"/>
                <w:sz w:val="18"/>
                <w:szCs w:val="18"/>
                <w:color w:val="0000FF"/>
                <w:w w:val="90"/>
              </w:rPr>
            </w:pPr>
            <w:hyperlink r:id="rId342">
              <w:r>
                <w:rPr>
                  <w:rFonts w:ascii="Arial" w:cs="Arial" w:eastAsia="Arial" w:hAnsi="Arial"/>
                  <w:sz w:val="18"/>
                  <w:szCs w:val="18"/>
                  <w:color w:val="0000FF"/>
                  <w:w w:val="90"/>
                </w:rPr>
                <w:t>(incorporated herein by reference to Exhibit 10.3 to the registrant’s Quarterly Report on Form 10-Q filed with the SEC on November</w:t>
              </w:r>
            </w:hyperlink>
          </w:p>
        </w:tc>
        <w:tc>
          <w:tcPr>
            <w:tcW w:w="380" w:type="dxa"/>
            <w:vAlign w:val="bottom"/>
            <w:gridSpan w:val="14"/>
          </w:tcPr>
          <w:p>
            <w:pPr>
              <w:jc w:val="right"/>
              <w:ind w:right="120"/>
              <w:spacing w:after="0" w:line="156" w:lineRule="exact"/>
              <w:rPr>
                <w:rFonts w:ascii="Arial" w:cs="Arial" w:eastAsia="Arial" w:hAnsi="Arial"/>
                <w:sz w:val="18"/>
                <w:szCs w:val="18"/>
                <w:color w:val="0000FF"/>
              </w:rPr>
            </w:pPr>
            <w:hyperlink r:id="rId342">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42">
              <w:r>
                <w:rPr>
                  <w:rFonts w:ascii="Arial" w:cs="Arial" w:eastAsia="Arial" w:hAnsi="Arial"/>
                  <w:sz w:val="18"/>
                  <w:szCs w:val="18"/>
                  <w:color w:val="0000FF"/>
                  <w:w w:val="86"/>
                </w:rPr>
                <w:t>2018).</w:t>
              </w:r>
            </w:hyperlink>
          </w:p>
        </w:tc>
        <w:tc>
          <w:tcPr>
            <w:tcW w:w="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6"/>
          </w:tcPr>
          <w:p>
            <w:pPr>
              <w:spacing w:after="0"/>
              <w:rPr>
                <w:sz w:val="24"/>
                <w:szCs w:val="24"/>
                <w:color w:val="auto"/>
              </w:rPr>
            </w:pPr>
          </w:p>
        </w:tc>
        <w:tc>
          <w:tcPr>
            <w:tcW w:w="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CC0000"/>
            </w:tcBorders>
            <w:gridSpan w:val="2"/>
            <w:vMerge w:val="restart"/>
            <w:shd w:val="clear" w:color="auto" w:fill="CC0000"/>
          </w:tcPr>
          <w:p>
            <w:pPr>
              <w:jc w:val="right"/>
              <w:ind w:right="40"/>
              <w:spacing w:after="0"/>
              <w:rPr>
                <w:sz w:val="20"/>
                <w:szCs w:val="20"/>
                <w:color w:val="auto"/>
              </w:rPr>
            </w:pPr>
            <w:r>
              <w:rPr>
                <w:rFonts w:ascii="Arial" w:cs="Arial" w:eastAsia="Arial" w:hAnsi="Arial"/>
                <w:sz w:val="18"/>
                <w:szCs w:val="18"/>
                <w:color w:val="FFFFFF"/>
              </w:rPr>
              <w:t>105</w:t>
            </w:r>
          </w:p>
        </w:tc>
        <w:tc>
          <w:tcPr>
            <w:tcW w:w="80" w:type="dxa"/>
            <w:vAlign w:val="bottom"/>
            <w:tcBorders>
              <w:bottom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CC0000"/>
            </w:tcBorders>
            <w:gridSpan w:val="2"/>
            <w:vMerge w:val="continue"/>
            <w:shd w:val="clear" w:color="auto" w:fill="CC0000"/>
          </w:tcPr>
          <w:p>
            <w:pPr>
              <w:spacing w:after="0"/>
              <w:rPr>
                <w:sz w:val="10"/>
                <w:szCs w:val="10"/>
                <w:color w:val="auto"/>
              </w:rPr>
            </w:pPr>
          </w:p>
        </w:tc>
        <w:tc>
          <w:tcPr>
            <w:tcW w:w="80" w:type="dxa"/>
            <w:vAlign w:val="bottom"/>
            <w:tcBorders>
              <w:bottom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2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6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w w:val="89"/>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6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2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10.9 +</w:t>
            </w:r>
          </w:p>
        </w:tc>
        <w:tc>
          <w:tcPr>
            <w:tcW w:w="480" w:type="dxa"/>
            <w:vAlign w:val="bottom"/>
          </w:tcPr>
          <w:p>
            <w:pPr>
              <w:spacing w:after="0"/>
              <w:rPr>
                <w:sz w:val="22"/>
                <w:szCs w:val="22"/>
                <w:color w:val="auto"/>
              </w:rPr>
            </w:pPr>
          </w:p>
        </w:tc>
        <w:tc>
          <w:tcPr>
            <w:tcW w:w="9880" w:type="dxa"/>
            <w:vAlign w:val="bottom"/>
            <w:gridSpan w:val="33"/>
          </w:tcPr>
          <w:p>
            <w:pPr>
              <w:spacing w:after="0"/>
              <w:rPr>
                <w:rFonts w:ascii="Arial" w:cs="Arial" w:eastAsia="Arial" w:hAnsi="Arial"/>
                <w:sz w:val="18"/>
                <w:szCs w:val="18"/>
                <w:color w:val="0000FF"/>
                <w:w w:val="95"/>
              </w:rPr>
            </w:pPr>
            <w:hyperlink r:id="rId345">
              <w:r>
                <w:rPr>
                  <w:rFonts w:ascii="Arial" w:cs="Arial" w:eastAsia="Arial" w:hAnsi="Arial"/>
                  <w:sz w:val="18"/>
                  <w:szCs w:val="18"/>
                  <w:color w:val="0000FF"/>
                  <w:w w:val="95"/>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345">
              <w:r>
                <w:rPr>
                  <w:rFonts w:ascii="Arial" w:cs="Arial" w:eastAsia="Arial" w:hAnsi="Arial"/>
                  <w:sz w:val="18"/>
                  <w:szCs w:val="18"/>
                  <w:color w:val="0000FF"/>
                  <w:w w:val="91"/>
                </w:rPr>
                <w:t>herein by reference to Exhibit 10.4 to the registrant’s Quarterly Report on Form 10-Q filed with the SEC on November 5, 2018).</w:t>
              </w:r>
            </w:hyperlink>
          </w:p>
        </w:tc>
        <w:tc>
          <w:tcPr>
            <w:tcW w:w="1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10.10 +</w:t>
            </w:r>
          </w:p>
        </w:tc>
        <w:tc>
          <w:tcPr>
            <w:tcW w:w="9880" w:type="dxa"/>
            <w:vAlign w:val="bottom"/>
            <w:gridSpan w:val="33"/>
          </w:tcPr>
          <w:p>
            <w:pPr>
              <w:spacing w:after="0"/>
              <w:rPr>
                <w:rFonts w:ascii="Arial" w:cs="Arial" w:eastAsia="Arial" w:hAnsi="Arial"/>
                <w:sz w:val="18"/>
                <w:szCs w:val="18"/>
                <w:color w:val="0000FF"/>
                <w:w w:val="91"/>
              </w:rPr>
            </w:pPr>
            <w:hyperlink r:id="rId346">
              <w:r>
                <w:rPr>
                  <w:rFonts w:ascii="Arial" w:cs="Arial" w:eastAsia="Arial" w:hAnsi="Arial"/>
                  <w:sz w:val="18"/>
                  <w:szCs w:val="18"/>
                  <w:color w:val="0000FF"/>
                  <w:w w:val="91"/>
                </w:rPr>
                <w:t>Amendment No. 1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346">
              <w:r>
                <w:rPr>
                  <w:rFonts w:ascii="Arial" w:cs="Arial" w:eastAsia="Arial" w:hAnsi="Arial"/>
                  <w:sz w:val="18"/>
                  <w:szCs w:val="18"/>
                  <w:color w:val="0000FF"/>
                  <w:w w:val="92"/>
                </w:rPr>
                <w:t>to the registrant’s definitive proxy statement on Schedule 14A filed with the SEC on April 22, 2019).</w:t>
              </w:r>
            </w:hyperlink>
          </w:p>
        </w:tc>
        <w:tc>
          <w:tcPr>
            <w:tcW w:w="25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40"/>
              <w:spacing w:after="0"/>
              <w:rPr>
                <w:sz w:val="20"/>
                <w:szCs w:val="20"/>
                <w:color w:val="auto"/>
              </w:rPr>
            </w:pPr>
            <w:r>
              <w:rPr>
                <w:rFonts w:ascii="Arial" w:cs="Arial" w:eastAsia="Arial" w:hAnsi="Arial"/>
                <w:sz w:val="18"/>
                <w:szCs w:val="18"/>
                <w:color w:val="auto"/>
                <w:w w:val="89"/>
              </w:rPr>
              <w:t>10.11 +</w:t>
            </w:r>
          </w:p>
        </w:tc>
        <w:tc>
          <w:tcPr>
            <w:tcW w:w="9880" w:type="dxa"/>
            <w:vAlign w:val="bottom"/>
            <w:gridSpan w:val="33"/>
          </w:tcPr>
          <w:p>
            <w:pPr>
              <w:spacing w:after="0"/>
              <w:rPr>
                <w:rFonts w:ascii="Arial" w:cs="Arial" w:eastAsia="Arial" w:hAnsi="Arial"/>
                <w:sz w:val="18"/>
                <w:szCs w:val="18"/>
                <w:color w:val="0000FF"/>
                <w:w w:val="92"/>
              </w:rPr>
            </w:pPr>
            <w:hyperlink r:id="rId347">
              <w:r>
                <w:rPr>
                  <w:rFonts w:ascii="Arial" w:cs="Arial" w:eastAsia="Arial" w:hAnsi="Arial"/>
                  <w:sz w:val="18"/>
                  <w:szCs w:val="18"/>
                  <w:color w:val="0000FF"/>
                  <w:w w:val="92"/>
                </w:rPr>
                <w:t>Form of Performance-Based Restricted Unit Award Agreement (2016 Omnibus Incentive Compensation Plan)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47">
              <w:r>
                <w:rPr>
                  <w:rFonts w:ascii="Arial" w:cs="Arial" w:eastAsia="Arial" w:hAnsi="Arial"/>
                  <w:sz w:val="18"/>
                  <w:szCs w:val="18"/>
                  <w:color w:val="0000FF"/>
                </w:rPr>
                <w:t>reference to Exhibit 10.7 to the registrant’s Quarterly Report on Form 10-Q filed with the SEC on August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10.12 +</w:t>
            </w:r>
          </w:p>
        </w:tc>
        <w:tc>
          <w:tcPr>
            <w:tcW w:w="9880" w:type="dxa"/>
            <w:vAlign w:val="bottom"/>
            <w:gridSpan w:val="33"/>
          </w:tcPr>
          <w:p>
            <w:pPr>
              <w:spacing w:after="0"/>
              <w:rPr>
                <w:rFonts w:ascii="Arial" w:cs="Arial" w:eastAsia="Arial" w:hAnsi="Arial"/>
                <w:sz w:val="18"/>
                <w:szCs w:val="18"/>
                <w:color w:val="0000FF"/>
                <w:w w:val="91"/>
              </w:rPr>
            </w:pPr>
            <w:hyperlink r:id="rId348">
              <w:r>
                <w:rPr>
                  <w:rFonts w:ascii="Arial" w:cs="Arial" w:eastAsia="Arial" w:hAnsi="Arial"/>
                  <w:sz w:val="18"/>
                  <w:szCs w:val="18"/>
                  <w:color w:val="0000FF"/>
                  <w:w w:val="91"/>
                </w:rPr>
                <w:t>Amendment No. 2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348">
              <w:r>
                <w:rPr>
                  <w:rFonts w:ascii="Arial" w:cs="Arial" w:eastAsia="Arial" w:hAnsi="Arial"/>
                  <w:sz w:val="18"/>
                  <w:szCs w:val="18"/>
                  <w:color w:val="0000FF"/>
                  <w:w w:val="92"/>
                </w:rPr>
                <w:t>to the registrant’s definitive proxy statement on Schedule 14A filed with the SEC on April 21, 2020).</w:t>
              </w:r>
            </w:hyperlink>
          </w:p>
        </w:tc>
        <w:tc>
          <w:tcPr>
            <w:tcW w:w="25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10.13 +</w:t>
            </w:r>
          </w:p>
        </w:tc>
        <w:tc>
          <w:tcPr>
            <w:tcW w:w="9880" w:type="dxa"/>
            <w:vAlign w:val="bottom"/>
            <w:gridSpan w:val="33"/>
          </w:tcPr>
          <w:p>
            <w:pPr>
              <w:spacing w:after="0"/>
              <w:rPr>
                <w:rFonts w:ascii="Arial" w:cs="Arial" w:eastAsia="Arial" w:hAnsi="Arial"/>
                <w:sz w:val="18"/>
                <w:szCs w:val="18"/>
                <w:color w:val="0000FF"/>
                <w:w w:val="94"/>
              </w:rPr>
            </w:pPr>
            <w:hyperlink r:id="rId349">
              <w:r>
                <w:rPr>
                  <w:rFonts w:ascii="Arial" w:cs="Arial" w:eastAsia="Arial" w:hAnsi="Arial"/>
                  <w:sz w:val="18"/>
                  <w:szCs w:val="18"/>
                  <w:color w:val="0000FF"/>
                  <w:w w:val="94"/>
                </w:rPr>
                <w:t>Form of Cash Long-Term Incentive Award Agreement (incorporated herein by reference to Exhibit 10.8 to the registrant’s Quarterly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49">
              <w:r>
                <w:rPr>
                  <w:rFonts w:ascii="Arial" w:cs="Arial" w:eastAsia="Arial" w:hAnsi="Arial"/>
                  <w:sz w:val="18"/>
                  <w:szCs w:val="18"/>
                  <w:color w:val="0000FF"/>
                </w:rPr>
                <w:t>Report on Form 10-Q filed with the SEC on August 3, 2020).</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10.14 +</w:t>
            </w:r>
          </w:p>
        </w:tc>
        <w:tc>
          <w:tcPr>
            <w:tcW w:w="9880" w:type="dxa"/>
            <w:vAlign w:val="bottom"/>
            <w:gridSpan w:val="33"/>
          </w:tcPr>
          <w:p>
            <w:pPr>
              <w:spacing w:after="0"/>
              <w:rPr>
                <w:rFonts w:ascii="Arial" w:cs="Arial" w:eastAsia="Arial" w:hAnsi="Arial"/>
                <w:sz w:val="18"/>
                <w:szCs w:val="18"/>
                <w:color w:val="0000FF"/>
                <w:w w:val="99"/>
              </w:rPr>
            </w:pPr>
            <w:hyperlink r:id="rId350">
              <w:r>
                <w:rPr>
                  <w:rFonts w:ascii="Arial" w:cs="Arial" w:eastAsia="Arial" w:hAnsi="Arial"/>
                  <w:sz w:val="18"/>
                  <w:szCs w:val="18"/>
                  <w:color w:val="0000FF"/>
                  <w:w w:val="99"/>
                </w:rPr>
                <w:t>Form of Letter Agreement with Certain Executive Officers (incorporated hereby by reference to Exhibit 10.2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350">
              <w:r>
                <w:rPr>
                  <w:rFonts w:ascii="Arial" w:cs="Arial" w:eastAsia="Arial" w:hAnsi="Arial"/>
                  <w:sz w:val="18"/>
                  <w:szCs w:val="18"/>
                  <w:color w:val="0000FF"/>
                  <w:w w:val="91"/>
                </w:rPr>
                <w:t>Quarterly Report on Form 10-Q filed with the SEC on August 4, 2021).</w:t>
              </w:r>
            </w:hyperlink>
          </w:p>
        </w:tc>
        <w:tc>
          <w:tcPr>
            <w:tcW w:w="39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10.15 +</w:t>
            </w:r>
          </w:p>
        </w:tc>
        <w:tc>
          <w:tcPr>
            <w:tcW w:w="9880" w:type="dxa"/>
            <w:vAlign w:val="bottom"/>
            <w:gridSpan w:val="33"/>
          </w:tcPr>
          <w:p>
            <w:pPr>
              <w:spacing w:after="0"/>
              <w:rPr>
                <w:rFonts w:ascii="Arial" w:cs="Arial" w:eastAsia="Arial" w:hAnsi="Arial"/>
                <w:sz w:val="18"/>
                <w:szCs w:val="18"/>
                <w:color w:val="0000FF"/>
                <w:w w:val="95"/>
              </w:rPr>
            </w:pPr>
            <w:hyperlink r:id="rId351">
              <w:r>
                <w:rPr>
                  <w:rFonts w:ascii="Arial" w:cs="Arial" w:eastAsia="Arial" w:hAnsi="Arial"/>
                  <w:sz w:val="18"/>
                  <w:szCs w:val="18"/>
                  <w:color w:val="0000FF"/>
                  <w:w w:val="95"/>
                </w:rPr>
                <w:t>Performance-Based Restricted Stock Unit Award Agreement, dated September 8, 2021, between the registrant and Ravi Tulsyan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51">
              <w:r>
                <w:rPr>
                  <w:rFonts w:ascii="Arial" w:cs="Arial" w:eastAsia="Arial" w:hAnsi="Arial"/>
                  <w:sz w:val="18"/>
                  <w:szCs w:val="18"/>
                  <w:color w:val="0000FF"/>
                  <w:w w:val="91"/>
                </w:rPr>
                <w:t>(incorporated by reference to Exhibit 10.6 to the registrant’s Quarterly Report on Form 10-Q filed with the SEC on November 3,</w:t>
              </w:r>
            </w:hyperlink>
          </w:p>
        </w:tc>
        <w:tc>
          <w:tcPr>
            <w:tcW w:w="540" w:type="dxa"/>
            <w:vAlign w:val="bottom"/>
            <w:tcBorders>
              <w:bottom w:val="single" w:sz="8" w:color="0000FF"/>
            </w:tcBorders>
            <w:gridSpan w:val="13"/>
          </w:tcPr>
          <w:p>
            <w:pPr>
              <w:jc w:val="right"/>
              <w:ind w:right="20"/>
              <w:spacing w:after="0" w:line="156" w:lineRule="exact"/>
              <w:rPr>
                <w:rFonts w:ascii="Arial" w:cs="Arial" w:eastAsia="Arial" w:hAnsi="Arial"/>
                <w:sz w:val="18"/>
                <w:szCs w:val="18"/>
                <w:color w:val="0000FF"/>
                <w:w w:val="97"/>
              </w:rPr>
            </w:pPr>
            <w:hyperlink r:id="rId351">
              <w:r>
                <w:rPr>
                  <w:rFonts w:ascii="Arial" w:cs="Arial" w:eastAsia="Arial" w:hAnsi="Arial"/>
                  <w:sz w:val="18"/>
                  <w:szCs w:val="18"/>
                  <w:color w:val="0000FF"/>
                  <w:w w:val="97"/>
                </w:rPr>
                <w:t>2021).</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10.16 +*</w:t>
            </w:r>
          </w:p>
        </w:tc>
        <w:tc>
          <w:tcPr>
            <w:tcW w:w="4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Form of Bonus Agreement with Certain Executive Officers.</w:t>
              </w:r>
            </w:hyperlink>
          </w:p>
        </w:tc>
        <w:tc>
          <w:tcPr>
            <w:tcW w:w="556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10.17 +*</w:t>
            </w:r>
          </w:p>
        </w:tc>
        <w:tc>
          <w:tcPr>
            <w:tcW w:w="9880" w:type="dxa"/>
            <w:vAlign w:val="bottom"/>
            <w:gridSpan w:val="3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Form of Letter Agreement with Certain Executive Officers.</w:t>
              </w:r>
            </w:hyperlink>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10.18 +</w:t>
            </w:r>
          </w:p>
        </w:tc>
        <w:tc>
          <w:tcPr>
            <w:tcW w:w="9880" w:type="dxa"/>
            <w:vAlign w:val="bottom"/>
            <w:gridSpan w:val="33"/>
          </w:tcPr>
          <w:p>
            <w:pPr>
              <w:spacing w:after="0"/>
              <w:rPr>
                <w:rFonts w:ascii="Arial" w:cs="Arial" w:eastAsia="Arial" w:hAnsi="Arial"/>
                <w:sz w:val="18"/>
                <w:szCs w:val="18"/>
                <w:color w:val="0000FF"/>
                <w:w w:val="94"/>
              </w:rPr>
            </w:pPr>
            <w:hyperlink r:id="rId352">
              <w:r>
                <w:rPr>
                  <w:rFonts w:ascii="Arial" w:cs="Arial" w:eastAsia="Arial" w:hAnsi="Arial"/>
                  <w:sz w:val="18"/>
                  <w:szCs w:val="18"/>
                  <w:color w:val="0000FF"/>
                  <w:w w:val="94"/>
                </w:rPr>
                <w:t>Employment Agreement, dated June 5, 2019, between the registrant and Sarah J.S. Glickman (incorporated herein by reference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52">
              <w:r>
                <w:rPr>
                  <w:rFonts w:ascii="Arial" w:cs="Arial" w:eastAsia="Arial" w:hAnsi="Arial"/>
                  <w:sz w:val="18"/>
                  <w:szCs w:val="18"/>
                  <w:color w:val="0000FF"/>
                </w:rPr>
                <w:t>Exhibit 10.6 to the registrant’s Quarterly Report on Form 10-Q filed with the SEC on August 1, 2019).</w:t>
              </w:r>
            </w:hyperlink>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10.19 +</w:t>
            </w:r>
          </w:p>
        </w:tc>
        <w:tc>
          <w:tcPr>
            <w:tcW w:w="9880" w:type="dxa"/>
            <w:vAlign w:val="bottom"/>
            <w:gridSpan w:val="33"/>
          </w:tcPr>
          <w:p>
            <w:pPr>
              <w:spacing w:after="0"/>
              <w:rPr>
                <w:rFonts w:ascii="Arial" w:cs="Arial" w:eastAsia="Arial" w:hAnsi="Arial"/>
                <w:sz w:val="18"/>
                <w:szCs w:val="18"/>
                <w:color w:val="0000FF"/>
                <w:w w:val="93"/>
              </w:rPr>
            </w:pPr>
            <w:hyperlink r:id="rId353">
              <w:r>
                <w:rPr>
                  <w:rFonts w:ascii="Arial" w:cs="Arial" w:eastAsia="Arial" w:hAnsi="Arial"/>
                  <w:sz w:val="18"/>
                  <w:szCs w:val="18"/>
                  <w:color w:val="0000FF"/>
                  <w:w w:val="93"/>
                </w:rPr>
                <w:t>Employment Agreement, effective as of February 3, 2020, and Amendment to Employment Agreement, dated April 7, 2020, between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353">
              <w:r>
                <w:rPr>
                  <w:rFonts w:ascii="Arial" w:cs="Arial" w:eastAsia="Arial" w:hAnsi="Arial"/>
                  <w:sz w:val="18"/>
                  <w:szCs w:val="18"/>
                  <w:color w:val="0000FF"/>
                  <w:w w:val="91"/>
                </w:rPr>
                <w:t>the registrant and Kurt M. Rogers (incorporated herein by reference to Exhibit 10.1 to the registrant’s Quarterly Report on Form 10-Q</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gridSpan w:val="12"/>
          </w:tcPr>
          <w:p>
            <w:pPr>
              <w:spacing w:after="0" w:line="156" w:lineRule="exact"/>
              <w:rPr>
                <w:rFonts w:ascii="Arial" w:cs="Arial" w:eastAsia="Arial" w:hAnsi="Arial"/>
                <w:sz w:val="18"/>
                <w:szCs w:val="18"/>
                <w:color w:val="0000FF"/>
              </w:rPr>
            </w:pPr>
            <w:hyperlink r:id="rId353">
              <w:r>
                <w:rPr>
                  <w:rFonts w:ascii="Arial" w:cs="Arial" w:eastAsia="Arial" w:hAnsi="Arial"/>
                  <w:sz w:val="18"/>
                  <w:szCs w:val="18"/>
                  <w:color w:val="0000FF"/>
                </w:rPr>
                <w:t>filed with the SEC on May 5, 2020).</w:t>
              </w:r>
            </w:hyperlink>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7"/>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10.20 +</w:t>
            </w:r>
          </w:p>
        </w:tc>
        <w:tc>
          <w:tcPr>
            <w:tcW w:w="9880" w:type="dxa"/>
            <w:vAlign w:val="bottom"/>
            <w:gridSpan w:val="33"/>
          </w:tcPr>
          <w:p>
            <w:pPr>
              <w:spacing w:after="0"/>
              <w:rPr>
                <w:rFonts w:ascii="Arial" w:cs="Arial" w:eastAsia="Arial" w:hAnsi="Arial"/>
                <w:sz w:val="18"/>
                <w:szCs w:val="18"/>
                <w:color w:val="0000FF"/>
                <w:w w:val="91"/>
              </w:rPr>
            </w:pPr>
            <w:hyperlink r:id="rId354">
              <w:r>
                <w:rPr>
                  <w:rFonts w:ascii="Arial" w:cs="Arial" w:eastAsia="Arial" w:hAnsi="Arial"/>
                  <w:sz w:val="18"/>
                  <w:szCs w:val="18"/>
                  <w:color w:val="0000FF"/>
                  <w:w w:val="91"/>
                </w:rPr>
                <w:t>Employment Agreement, effective as of March 2, 2020, between the registrant and David B. Wyshner (incorporated herein by reference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54">
              <w:r>
                <w:rPr>
                  <w:rFonts w:ascii="Arial" w:cs="Arial" w:eastAsia="Arial" w:hAnsi="Arial"/>
                  <w:sz w:val="18"/>
                  <w:szCs w:val="18"/>
                  <w:color w:val="0000FF"/>
                </w:rPr>
                <w:t>to Exhibit 10.2 to the registrant’s Quarterly Report on Form 10-Q filed with the SEC on May 5, 2020).</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10.21 +</w:t>
            </w:r>
          </w:p>
        </w:tc>
        <w:tc>
          <w:tcPr>
            <w:tcW w:w="9880" w:type="dxa"/>
            <w:vAlign w:val="bottom"/>
            <w:gridSpan w:val="33"/>
          </w:tcPr>
          <w:p>
            <w:pPr>
              <w:spacing w:after="0"/>
              <w:rPr>
                <w:rFonts w:ascii="Arial" w:cs="Arial" w:eastAsia="Arial" w:hAnsi="Arial"/>
                <w:sz w:val="18"/>
                <w:szCs w:val="18"/>
                <w:color w:val="0000FF"/>
                <w:w w:val="91"/>
              </w:rPr>
            </w:pPr>
            <w:hyperlink r:id="rId355">
              <w:r>
                <w:rPr>
                  <w:rFonts w:ascii="Arial" w:cs="Arial" w:eastAsia="Arial" w:hAnsi="Arial"/>
                  <w:sz w:val="18"/>
                  <w:szCs w:val="18"/>
                  <w:color w:val="0000FF"/>
                  <w:w w:val="91"/>
                </w:rPr>
                <w:t>Separation Agreement, dated May 4, 2020, between the registrant and Sarah J.S. Glickman (incorporated herein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355">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current report on Form 8-K filed with the SEC on May 8, 2020).</w:t>
              </w:r>
            </w:hyperlink>
          </w:p>
        </w:tc>
        <w:tc>
          <w:tcPr>
            <w:tcW w:w="3460" w:type="dxa"/>
            <w:vAlign w:val="bottom"/>
            <w:tcBorders>
              <w:top w:val="single" w:sz="8" w:color="0000FF"/>
            </w:tcBorders>
            <w:gridSpan w:val="18"/>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10.22 +</w:t>
            </w:r>
          </w:p>
        </w:tc>
        <w:tc>
          <w:tcPr>
            <w:tcW w:w="9880" w:type="dxa"/>
            <w:vAlign w:val="bottom"/>
            <w:gridSpan w:val="33"/>
          </w:tcPr>
          <w:p>
            <w:pPr>
              <w:spacing w:after="0"/>
              <w:rPr>
                <w:rFonts w:ascii="Arial" w:cs="Arial" w:eastAsia="Arial" w:hAnsi="Arial"/>
                <w:sz w:val="18"/>
                <w:szCs w:val="18"/>
                <w:color w:val="0000FF"/>
                <w:w w:val="91"/>
              </w:rPr>
            </w:pPr>
            <w:hyperlink r:id="rId356">
              <w:r>
                <w:rPr>
                  <w:rFonts w:ascii="Arial" w:cs="Arial" w:eastAsia="Arial" w:hAnsi="Arial"/>
                  <w:sz w:val="18"/>
                  <w:szCs w:val="18"/>
                  <w:color w:val="0000FF"/>
                  <w:w w:val="91"/>
                </w:rPr>
                <w:t>Employment Agreement, effective as of July 31, 2020, between the registrant and Bradley S. Jacobs. (incorporated herein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356">
              <w:r>
                <w:rPr>
                  <w:rFonts w:ascii="Arial" w:cs="Arial" w:eastAsia="Arial" w:hAnsi="Arial"/>
                  <w:sz w:val="18"/>
                  <w:szCs w:val="18"/>
                  <w:color w:val="0000FF"/>
                  <w:w w:val="92"/>
                </w:rPr>
                <w:t>to Exhibit 10.5 to the registrant’s Quarterly Report on Form 10-Q filed with the SEC on August 3, 2020).</w:t>
              </w:r>
            </w:hyperlink>
          </w:p>
        </w:tc>
        <w:tc>
          <w:tcPr>
            <w:tcW w:w="21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10.23 +</w:t>
            </w:r>
          </w:p>
        </w:tc>
        <w:tc>
          <w:tcPr>
            <w:tcW w:w="9880" w:type="dxa"/>
            <w:vAlign w:val="bottom"/>
            <w:gridSpan w:val="33"/>
          </w:tcPr>
          <w:p>
            <w:pPr>
              <w:spacing w:after="0"/>
              <w:rPr>
                <w:rFonts w:ascii="Arial" w:cs="Arial" w:eastAsia="Arial" w:hAnsi="Arial"/>
                <w:sz w:val="18"/>
                <w:szCs w:val="18"/>
                <w:color w:val="0000FF"/>
                <w:w w:val="91"/>
              </w:rPr>
            </w:pPr>
            <w:hyperlink r:id="rId357">
              <w:r>
                <w:rPr>
                  <w:rFonts w:ascii="Arial" w:cs="Arial" w:eastAsia="Arial" w:hAnsi="Arial"/>
                  <w:sz w:val="18"/>
                  <w:szCs w:val="18"/>
                  <w:color w:val="0000FF"/>
                  <w:w w:val="91"/>
                </w:rPr>
                <w:t>Employment Agreement, effective as of July 31, 2020, between the registrant and Troy A. Cooper. (incorporated herein by reference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57">
              <w:r>
                <w:rPr>
                  <w:rFonts w:ascii="Arial" w:cs="Arial" w:eastAsia="Arial" w:hAnsi="Arial"/>
                  <w:sz w:val="18"/>
                  <w:szCs w:val="18"/>
                  <w:color w:val="0000FF"/>
                </w:rPr>
                <w:t>Exhibit 10.6 to the registrant’s Quarterly Report on Form 10-Q filed with the SEC on August 3, 2020).</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10.24 +</w:t>
            </w:r>
          </w:p>
        </w:tc>
        <w:tc>
          <w:tcPr>
            <w:tcW w:w="9880" w:type="dxa"/>
            <w:vAlign w:val="bottom"/>
            <w:gridSpan w:val="33"/>
          </w:tcPr>
          <w:p>
            <w:pPr>
              <w:spacing w:after="0"/>
              <w:rPr>
                <w:rFonts w:ascii="Arial" w:cs="Arial" w:eastAsia="Arial" w:hAnsi="Arial"/>
                <w:sz w:val="18"/>
                <w:szCs w:val="18"/>
                <w:color w:val="0000FF"/>
                <w:w w:val="92"/>
              </w:rPr>
            </w:pPr>
            <w:hyperlink r:id="rId358">
              <w:r>
                <w:rPr>
                  <w:rFonts w:ascii="Arial" w:cs="Arial" w:eastAsia="Arial" w:hAnsi="Arial"/>
                  <w:sz w:val="18"/>
                  <w:szCs w:val="18"/>
                  <w:color w:val="0000FF"/>
                  <w:w w:val="92"/>
                </w:rPr>
                <w:t>Employment Agreement, effective as of July 31, 2020, between the registrant and Mario A. Harik. (incorporated herein by reference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58">
              <w:r>
                <w:rPr>
                  <w:rFonts w:ascii="Arial" w:cs="Arial" w:eastAsia="Arial" w:hAnsi="Arial"/>
                  <w:sz w:val="18"/>
                  <w:szCs w:val="18"/>
                  <w:color w:val="0000FF"/>
                </w:rPr>
                <w:t>Exhibit 10.7 to the registrant’s Quarterly Report on Form 10-Q filed with the SEC on August 3, 2020).</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2"/>
          </w:tcPr>
          <w:p>
            <w:pPr>
              <w:spacing w:after="0"/>
              <w:rPr>
                <w:sz w:val="24"/>
                <w:szCs w:val="24"/>
                <w:color w:val="auto"/>
              </w:rPr>
            </w:pPr>
          </w:p>
        </w:tc>
        <w:tc>
          <w:tcPr>
            <w:tcW w:w="520" w:type="dxa"/>
            <w:vAlign w:val="bottom"/>
            <w:tcBorders>
              <w:top w:val="single" w:sz="8" w:color="0000FF"/>
            </w:tcBorders>
            <w:gridSpan w:val="4"/>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CC0000"/>
            </w:tcBorders>
            <w:gridSpan w:val="3"/>
            <w:vMerge w:val="restart"/>
            <w:shd w:val="clear" w:color="auto" w:fill="CC0000"/>
          </w:tcPr>
          <w:p>
            <w:pPr>
              <w:jc w:val="right"/>
              <w:ind w:right="20"/>
              <w:spacing w:after="0"/>
              <w:rPr>
                <w:sz w:val="20"/>
                <w:szCs w:val="20"/>
                <w:color w:val="auto"/>
              </w:rPr>
            </w:pPr>
            <w:r>
              <w:rPr>
                <w:rFonts w:ascii="Arial" w:cs="Arial" w:eastAsia="Arial" w:hAnsi="Arial"/>
                <w:sz w:val="18"/>
                <w:szCs w:val="18"/>
                <w:color w:val="FFFFFF"/>
              </w:rPr>
              <w:t>106</w:t>
            </w:r>
          </w:p>
        </w:tc>
        <w:tc>
          <w:tcPr>
            <w:tcW w:w="100" w:type="dxa"/>
            <w:vAlign w:val="bottom"/>
            <w:tcBorders>
              <w:bottom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CC0000"/>
            </w:tcBorders>
            <w:gridSpan w:val="3"/>
            <w:vMerge w:val="continue"/>
            <w:shd w:val="clear" w:color="auto" w:fill="CC0000"/>
          </w:tcPr>
          <w:p>
            <w:pPr>
              <w:spacing w:after="0"/>
              <w:rPr>
                <w:sz w:val="10"/>
                <w:szCs w:val="10"/>
                <w:color w:val="auto"/>
              </w:rPr>
            </w:pPr>
          </w:p>
        </w:tc>
        <w:tc>
          <w:tcPr>
            <w:tcW w:w="100" w:type="dxa"/>
            <w:vAlign w:val="bottom"/>
            <w:tcBorders>
              <w:bottom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30"/>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w w:val="89"/>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3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10.25 +</w:t>
            </w:r>
          </w:p>
        </w:tc>
        <w:tc>
          <w:tcPr>
            <w:tcW w:w="9880" w:type="dxa"/>
            <w:vAlign w:val="bottom"/>
            <w:gridSpan w:val="35"/>
          </w:tcPr>
          <w:p>
            <w:pPr>
              <w:spacing w:after="0"/>
              <w:rPr>
                <w:rFonts w:ascii="Arial" w:cs="Arial" w:eastAsia="Arial" w:hAnsi="Arial"/>
                <w:sz w:val="18"/>
                <w:szCs w:val="18"/>
                <w:color w:val="0000FF"/>
                <w:w w:val="95"/>
              </w:rPr>
            </w:pPr>
            <w:hyperlink r:id="rId361">
              <w:r>
                <w:rPr>
                  <w:rFonts w:ascii="Arial" w:cs="Arial" w:eastAsia="Arial" w:hAnsi="Arial"/>
                  <w:sz w:val="18"/>
                  <w:szCs w:val="18"/>
                  <w:color w:val="0000FF"/>
                  <w:w w:val="95"/>
                </w:rPr>
                <w:t>Offer Letter, dated September 14, 2021, between the registrant and Ravi Tulsyan (incorporated by reference to Exhibit 10.7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61">
              <w:r>
                <w:rPr>
                  <w:rFonts w:ascii="Arial" w:cs="Arial" w:eastAsia="Arial" w:hAnsi="Arial"/>
                  <w:sz w:val="18"/>
                  <w:szCs w:val="18"/>
                  <w:color w:val="0000FF"/>
                </w:rPr>
                <w:t>registrant’s Quarterly Report on Form 10-Q filed with the SEC on November 3, 2021).</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10.26 +</w:t>
            </w:r>
          </w:p>
        </w:tc>
        <w:tc>
          <w:tcPr>
            <w:tcW w:w="9880" w:type="dxa"/>
            <w:vAlign w:val="bottom"/>
            <w:gridSpan w:val="35"/>
          </w:tcPr>
          <w:p>
            <w:pPr>
              <w:spacing w:after="0"/>
              <w:rPr>
                <w:rFonts w:ascii="Arial" w:cs="Arial" w:eastAsia="Arial" w:hAnsi="Arial"/>
                <w:sz w:val="18"/>
                <w:szCs w:val="18"/>
                <w:color w:val="0000FF"/>
                <w:w w:val="93"/>
              </w:rPr>
            </w:pPr>
            <w:hyperlink r:id="rId362">
              <w:r>
                <w:rPr>
                  <w:rFonts w:ascii="Arial" w:cs="Arial" w:eastAsia="Arial" w:hAnsi="Arial"/>
                  <w:sz w:val="18"/>
                  <w:szCs w:val="18"/>
                  <w:color w:val="0000FF"/>
                  <w:w w:val="93"/>
                </w:rPr>
                <w:t>Change in Control and Severance Agreement, dated September 14, 2021, between the registrant and Ravi Tulsyan (incorporated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62">
              <w:r>
                <w:rPr>
                  <w:rFonts w:ascii="Arial" w:cs="Arial" w:eastAsia="Arial" w:hAnsi="Arial"/>
                  <w:sz w:val="18"/>
                  <w:szCs w:val="18"/>
                  <w:color w:val="0000FF"/>
                </w:rPr>
                <w:t>reference to Exhibit 10.8 to the registrant’s Quarterly Report on Form 10-Q filed with the SEC on November 3,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10.27 +*</w:t>
            </w:r>
          </w:p>
        </w:tc>
        <w:tc>
          <w:tcPr>
            <w:tcW w:w="8520" w:type="dxa"/>
            <w:vAlign w:val="bottom"/>
            <w:tcBorders>
              <w:top w:val="single" w:sz="8" w:color="0000FF"/>
            </w:tcBorders>
            <w:gridSpan w:val="13"/>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Separation Agreement, dated December 27, 2021, between the registrant and Troy A. Cooper.</w:t>
              </w:r>
            </w:hyperlink>
          </w:p>
        </w:tc>
        <w:tc>
          <w:tcPr>
            <w:tcW w:w="1360" w:type="dxa"/>
            <w:vAlign w:val="bottom"/>
            <w:gridSpan w:val="2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10.28</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4"/>
              </w:rPr>
            </w:pPr>
            <w:hyperlink r:id="rId363">
              <w:r>
                <w:rPr>
                  <w:rFonts w:ascii="Arial" w:cs="Arial" w:eastAsia="Arial" w:hAnsi="Arial"/>
                  <w:sz w:val="18"/>
                  <w:szCs w:val="18"/>
                  <w:color w:val="0000FF"/>
                  <w:w w:val="94"/>
                </w:rPr>
                <w:t>XPO Logistics, Inc. Employee Stock Purchase Plan (incorporated herein by reference to Annex A to the registrant’s definitive proxy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63">
              <w:r>
                <w:rPr>
                  <w:rFonts w:ascii="Arial" w:cs="Arial" w:eastAsia="Arial" w:hAnsi="Arial"/>
                  <w:sz w:val="18"/>
                  <w:szCs w:val="18"/>
                  <w:color w:val="0000FF"/>
                </w:rPr>
                <w:t>statement on Schedule 14A filed with the SEC on November 20, 2017).</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10.29</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7"/>
              </w:rPr>
            </w:pPr>
            <w:hyperlink r:id="rId364">
              <w:r>
                <w:rPr>
                  <w:rFonts w:ascii="Arial" w:cs="Arial" w:eastAsia="Arial" w:hAnsi="Arial"/>
                  <w:sz w:val="18"/>
                  <w:szCs w:val="18"/>
                  <w:color w:val="0000FF"/>
                  <w:w w:val="97"/>
                </w:rPr>
                <w:t>Amendment No. 1, dated December 4, 2018, to the XPO Logistics, Inc. Employee Stock Purchase Plan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6" w:lineRule="exact"/>
              <w:rPr>
                <w:rFonts w:ascii="Arial" w:cs="Arial" w:eastAsia="Arial" w:hAnsi="Arial"/>
                <w:sz w:val="18"/>
                <w:szCs w:val="18"/>
                <w:color w:val="0000FF"/>
                <w:w w:val="99"/>
              </w:rPr>
            </w:pPr>
            <w:hyperlink r:id="rId364">
              <w:r>
                <w:rPr>
                  <w:rFonts w:ascii="Arial" w:cs="Arial" w:eastAsia="Arial" w:hAnsi="Arial"/>
                  <w:sz w:val="18"/>
                  <w:szCs w:val="18"/>
                  <w:color w:val="0000FF"/>
                  <w:w w:val="99"/>
                </w:rPr>
                <w:t>reference to Exhibit 10.18 to the registrant’s Annual Report on Form 10-K filed with the SEC on February 14,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520" w:type="dxa"/>
            <w:vAlign w:val="bottom"/>
            <w:tcBorders>
              <w:bottom w:val="single" w:sz="8" w:color="0000FF"/>
            </w:tcBorders>
            <w:gridSpan w:val="28"/>
          </w:tcPr>
          <w:p>
            <w:pPr>
              <w:spacing w:after="0"/>
              <w:rPr>
                <w:rFonts w:ascii="Arial" w:cs="Arial" w:eastAsia="Arial" w:hAnsi="Arial"/>
                <w:sz w:val="18"/>
                <w:szCs w:val="18"/>
                <w:color w:val="0000FF"/>
                <w:w w:val="89"/>
              </w:rPr>
            </w:pPr>
            <w:hyperlink r:id="rId365">
              <w:r>
                <w:rPr>
                  <w:rFonts w:ascii="Arial" w:cs="Arial" w:eastAsia="Arial" w:hAnsi="Arial"/>
                  <w:sz w:val="18"/>
                  <w:szCs w:val="18"/>
                  <w:color w:val="0000FF"/>
                  <w:w w:val="89"/>
                </w:rPr>
                <w:t>Second Amended and Restated Revolving Loan Credit Agreement, dated October 30, 2015, by and among the registrant and certain</w:t>
              </w:r>
            </w:hyperlink>
          </w:p>
        </w:tc>
        <w:tc>
          <w:tcPr>
            <w:tcW w:w="3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bottom w:val="single" w:sz="8" w:color="0000FF"/>
            </w:tcBorders>
            <w:gridSpan w:val="31"/>
          </w:tcPr>
          <w:p>
            <w:pPr>
              <w:spacing w:after="0" w:line="156" w:lineRule="exact"/>
              <w:rPr>
                <w:rFonts w:ascii="Arial" w:cs="Arial" w:eastAsia="Arial" w:hAnsi="Arial"/>
                <w:sz w:val="18"/>
                <w:szCs w:val="18"/>
                <w:color w:val="0000FF"/>
                <w:w w:val="89"/>
              </w:rPr>
            </w:pPr>
            <w:hyperlink r:id="rId365">
              <w:r>
                <w:rPr>
                  <w:rFonts w:ascii="Arial" w:cs="Arial" w:eastAsia="Arial" w:hAnsi="Arial"/>
                  <w:sz w:val="18"/>
                  <w:szCs w:val="18"/>
                  <w:color w:val="0000FF"/>
                  <w:w w:val="89"/>
                </w:rPr>
                <w:t>subsidiaries signatory thereto, as borrowers, other credit parties signatory thereto, Morgan Stanley Senior Funding, Inc., as agent, and</w:t>
              </w:r>
            </w:hyperlink>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5"/>
          </w:tcPr>
          <w:p>
            <w:pPr>
              <w:spacing w:after="0" w:line="156" w:lineRule="exact"/>
              <w:rPr>
                <w:rFonts w:ascii="Arial" w:cs="Arial" w:eastAsia="Arial" w:hAnsi="Arial"/>
                <w:sz w:val="18"/>
                <w:szCs w:val="18"/>
                <w:color w:val="0000FF"/>
                <w:w w:val="92"/>
              </w:rPr>
            </w:pPr>
            <w:hyperlink r:id="rId365">
              <w:r>
                <w:rPr>
                  <w:rFonts w:ascii="Arial" w:cs="Arial" w:eastAsia="Arial" w:hAnsi="Arial"/>
                  <w:sz w:val="18"/>
                  <w:szCs w:val="18"/>
                  <w:color w:val="0000FF"/>
                  <w:w w:val="92"/>
                </w:rPr>
                <w:t>the Lenders from time to time party thereto (incorporated herein by reference to Exhibit 10.1 to the registrant’s Current Report on Form</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65">
              <w:r>
                <w:rPr>
                  <w:rFonts w:ascii="Arial" w:cs="Arial" w:eastAsia="Arial" w:hAnsi="Arial"/>
                  <w:sz w:val="18"/>
                  <w:szCs w:val="18"/>
                  <w:color w:val="0000FF"/>
                </w:rPr>
                <w:t>8-K filed with the SEC on November 2, 2015).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6"/>
              </w:rPr>
            </w:pPr>
            <w:hyperlink r:id="rId366">
              <w:r>
                <w:rPr>
                  <w:rFonts w:ascii="Arial" w:cs="Arial" w:eastAsia="Arial" w:hAnsi="Arial"/>
                  <w:sz w:val="18"/>
                  <w:szCs w:val="18"/>
                  <w:color w:val="0000FF"/>
                  <w:w w:val="96"/>
                </w:rPr>
                <w:t>Amendment No. 1 to Second Amended and Restated Revolving Loan Credit Agreement, dated July 19, 2017,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366">
              <w:r>
                <w:rPr>
                  <w:rFonts w:ascii="Arial" w:cs="Arial" w:eastAsia="Arial" w:hAnsi="Arial"/>
                  <w:sz w:val="18"/>
                  <w:szCs w:val="18"/>
                  <w:color w:val="0000FF"/>
                  <w:w w:val="89"/>
                </w:rPr>
                <w:t>registrant and certain subsidiaries signatory thereto, Morgan Stanley Senior Funding, Inc., as agent, and the Lenders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5"/>
          </w:tcPr>
          <w:p>
            <w:pPr>
              <w:spacing w:after="0" w:line="156" w:lineRule="exact"/>
              <w:rPr>
                <w:rFonts w:ascii="Arial" w:cs="Arial" w:eastAsia="Arial" w:hAnsi="Arial"/>
                <w:sz w:val="18"/>
                <w:szCs w:val="18"/>
                <w:color w:val="0000FF"/>
                <w:w w:val="93"/>
              </w:rPr>
            </w:pPr>
            <w:hyperlink r:id="rId366">
              <w:r>
                <w:rPr>
                  <w:rFonts w:ascii="Arial" w:cs="Arial" w:eastAsia="Arial" w:hAnsi="Arial"/>
                  <w:sz w:val="18"/>
                  <w:szCs w:val="18"/>
                  <w:color w:val="0000FF"/>
                  <w:w w:val="93"/>
                </w:rPr>
                <w:t>(incorporated herein by reference to Exhibit 10.1 to the registrant’s Current Report on Form 8-K filed with the SEC on July 25, 2017).</w:t>
              </w:r>
            </w:hyperlink>
          </w:p>
        </w:tc>
        <w:tc>
          <w:tcPr>
            <w:tcW w:w="0" w:type="dxa"/>
            <w:vAlign w:val="bottom"/>
          </w:tcPr>
          <w:p>
            <w:pPr>
              <w:spacing w:after="0"/>
              <w:rPr>
                <w:sz w:val="1"/>
                <w:szCs w:val="1"/>
                <w:color w:val="auto"/>
              </w:rPr>
            </w:pPr>
          </w:p>
        </w:tc>
      </w:tr>
      <w:tr>
        <w:trPr>
          <w:trHeight w:val="264"/>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60" w:type="dxa"/>
            <w:vAlign w:val="bottom"/>
            <w:tcBorders>
              <w:top w:val="single" w:sz="8" w:color="0000FF"/>
            </w:tcBorders>
            <w:gridSpan w:val="32"/>
          </w:tcPr>
          <w:p>
            <w:pPr>
              <w:spacing w:after="0"/>
              <w:rPr>
                <w:rFonts w:ascii="Arial" w:cs="Arial" w:eastAsia="Arial" w:hAnsi="Arial"/>
                <w:sz w:val="18"/>
                <w:szCs w:val="18"/>
                <w:color w:val="0000FF"/>
                <w:w w:val="92"/>
              </w:rPr>
            </w:pPr>
            <w:hyperlink r:id="rId367">
              <w:r>
                <w:rPr>
                  <w:rFonts w:ascii="Arial" w:cs="Arial" w:eastAsia="Arial" w:hAnsi="Arial"/>
                  <w:sz w:val="18"/>
                  <w:szCs w:val="18"/>
                  <w:color w:val="0000FF"/>
                  <w:w w:val="92"/>
                </w:rPr>
                <w:t>Amendment No. 2 to Second Amended and Restated Revolving Loan Credit Agreement, dated March 22, 2018, by and among the</w:t>
              </w:r>
            </w:hyperlink>
          </w:p>
        </w:tc>
        <w:tc>
          <w:tcPr>
            <w:tcW w:w="2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5"/>
          </w:tcPr>
          <w:p>
            <w:pPr>
              <w:spacing w:after="0" w:line="156" w:lineRule="exact"/>
              <w:rPr>
                <w:rFonts w:ascii="Arial" w:cs="Arial" w:eastAsia="Arial" w:hAnsi="Arial"/>
                <w:sz w:val="18"/>
                <w:szCs w:val="18"/>
                <w:color w:val="0000FF"/>
                <w:w w:val="90"/>
              </w:rPr>
            </w:pPr>
            <w:hyperlink r:id="rId367">
              <w:r>
                <w:rPr>
                  <w:rFonts w:ascii="Arial" w:cs="Arial" w:eastAsia="Arial" w:hAnsi="Arial"/>
                  <w:sz w:val="18"/>
                  <w:szCs w:val="18"/>
                  <w:color w:val="0000FF"/>
                  <w:w w:val="90"/>
                </w:rPr>
                <w:t>registrant and certain subsidiaries signatory thereto, the lenders party thereto and Morgan Stanley Senior Funding, Inc., as administrative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367">
              <w:r>
                <w:rPr>
                  <w:rFonts w:ascii="Arial" w:cs="Arial" w:eastAsia="Arial" w:hAnsi="Arial"/>
                  <w:sz w:val="18"/>
                  <w:szCs w:val="18"/>
                  <w:color w:val="0000FF"/>
                  <w:w w:val="92"/>
                </w:rPr>
                <w:t>agent (incorporated herein by reference to Exhibit 10.2 to the registrant’s Quarterly Report on Form 10-Q filed with the SEC on May 7,</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67">
              <w:r>
                <w:rPr>
                  <w:rFonts w:ascii="Arial" w:cs="Arial" w:eastAsia="Arial" w:hAnsi="Arial"/>
                  <w:sz w:val="18"/>
                  <w:szCs w:val="18"/>
                  <w:color w:val="0000FF"/>
                  <w:w w:val="86"/>
                </w:rPr>
                <w:t>2018).</w:t>
              </w:r>
            </w:hyperlink>
          </w:p>
        </w:tc>
        <w:tc>
          <w:tcPr>
            <w:tcW w:w="29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10.33</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6"/>
              </w:rPr>
            </w:pPr>
            <w:hyperlink r:id="rId368">
              <w:r>
                <w:rPr>
                  <w:rFonts w:ascii="Arial" w:cs="Arial" w:eastAsia="Arial" w:hAnsi="Arial"/>
                  <w:sz w:val="18"/>
                  <w:szCs w:val="18"/>
                  <w:color w:val="0000FF"/>
                  <w:w w:val="96"/>
                </w:rPr>
                <w:t>Amendment No. 3 to Second Amended and Restated Revolving Loan Credit Agreement, dated April 30, 2019,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23"/>
          </w:tcPr>
          <w:p>
            <w:pPr>
              <w:spacing w:after="0" w:line="156" w:lineRule="exact"/>
              <w:rPr>
                <w:rFonts w:ascii="Arial" w:cs="Arial" w:eastAsia="Arial" w:hAnsi="Arial"/>
                <w:sz w:val="18"/>
                <w:szCs w:val="18"/>
                <w:color w:val="0000FF"/>
                <w:w w:val="93"/>
              </w:rPr>
            </w:pPr>
            <w:hyperlink r:id="rId368">
              <w:r>
                <w:rPr>
                  <w:rFonts w:ascii="Arial" w:cs="Arial" w:eastAsia="Arial" w:hAnsi="Arial"/>
                  <w:sz w:val="18"/>
                  <w:szCs w:val="18"/>
                  <w:color w:val="0000FF"/>
                  <w:w w:val="93"/>
                </w:rPr>
                <w:t>registrant, certain subsidiaries signatory thereto, the lenders party thereto and Morgan Stanley Senior Funding, Inc., as agent</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4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368">
              <w:r>
                <w:rPr>
                  <w:rFonts w:ascii="Arial" w:cs="Arial" w:eastAsia="Arial" w:hAnsi="Arial"/>
                  <w:sz w:val="18"/>
                  <w:szCs w:val="18"/>
                  <w:color w:val="0000FF"/>
                  <w:w w:val="92"/>
                </w:rPr>
                <w:t>(incorporated herein by reference to Exhibit 10.1 to the registrant’s Current Report on Form 8-K filed with the SEC on May</w:t>
              </w:r>
            </w:hyperlink>
          </w:p>
        </w:tc>
        <w:tc>
          <w:tcPr>
            <w:tcW w:w="940" w:type="dxa"/>
            <w:vAlign w:val="bottom"/>
            <w:gridSpan w:val="21"/>
          </w:tcPr>
          <w:p>
            <w:pPr>
              <w:jc w:val="center"/>
              <w:ind w:right="260"/>
              <w:spacing w:after="0" w:line="156" w:lineRule="exact"/>
              <w:rPr>
                <w:rFonts w:ascii="Arial" w:cs="Arial" w:eastAsia="Arial" w:hAnsi="Arial"/>
                <w:sz w:val="18"/>
                <w:szCs w:val="18"/>
                <w:color w:val="0000FF"/>
                <w:w w:val="90"/>
              </w:rPr>
            </w:pPr>
            <w:hyperlink r:id="rId368">
              <w:r>
                <w:rPr>
                  <w:rFonts w:ascii="Arial" w:cs="Arial" w:eastAsia="Arial" w:hAnsi="Arial"/>
                  <w:sz w:val="18"/>
                  <w:szCs w:val="18"/>
                  <w:color w:val="0000FF"/>
                  <w:w w:val="90"/>
                </w:rPr>
                <w:t>1, 2019).</w:t>
              </w:r>
            </w:hyperlink>
          </w:p>
        </w:tc>
        <w:tc>
          <w:tcPr>
            <w:tcW w:w="0" w:type="dxa"/>
            <w:vAlign w:val="bottom"/>
          </w:tcPr>
          <w:p>
            <w:pPr>
              <w:spacing w:after="0"/>
              <w:rPr>
                <w:sz w:val="1"/>
                <w:szCs w:val="1"/>
                <w:color w:val="auto"/>
              </w:rPr>
            </w:pPr>
          </w:p>
        </w:tc>
      </w:tr>
      <w:tr>
        <w:trPr>
          <w:trHeight w:val="263"/>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10.34</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0" w:type="dxa"/>
            <w:vAlign w:val="bottom"/>
            <w:tcBorders>
              <w:top w:val="single" w:sz="8" w:color="0000FF"/>
            </w:tcBorders>
            <w:gridSpan w:val="30"/>
          </w:tcPr>
          <w:p>
            <w:pPr>
              <w:spacing w:after="0"/>
              <w:rPr>
                <w:rFonts w:ascii="Arial" w:cs="Arial" w:eastAsia="Arial" w:hAnsi="Arial"/>
                <w:sz w:val="18"/>
                <w:szCs w:val="18"/>
                <w:color w:val="0000FF"/>
                <w:w w:val="94"/>
              </w:rPr>
            </w:pPr>
            <w:hyperlink r:id="rId369">
              <w:r>
                <w:rPr>
                  <w:rFonts w:ascii="Arial" w:cs="Arial" w:eastAsia="Arial" w:hAnsi="Arial"/>
                  <w:sz w:val="18"/>
                  <w:szCs w:val="18"/>
                  <w:color w:val="0000FF"/>
                  <w:w w:val="94"/>
                </w:rPr>
                <w:t>Amendment No. 4 to Second Amended and Restated Revolving Loan Credit Agreement, dated April 3, 2020, by and among the</w:t>
              </w:r>
            </w:hyperlink>
          </w:p>
        </w:tc>
        <w:tc>
          <w:tcPr>
            <w:tcW w:w="2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369">
              <w:r>
                <w:rPr>
                  <w:rFonts w:ascii="Arial" w:cs="Arial" w:eastAsia="Arial" w:hAnsi="Arial"/>
                  <w:sz w:val="18"/>
                  <w:szCs w:val="18"/>
                  <w:color w:val="0000FF"/>
                  <w:w w:val="89"/>
                </w:rPr>
                <w:t>registrant, certain subsidiaries signatory thereto, the lenders party thereto and Morgan Stanley Senior Funding Inc., as agent.</w:t>
              </w:r>
            </w:hyperlink>
          </w:p>
        </w:tc>
        <w:tc>
          <w:tcPr>
            <w:tcW w:w="2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5"/>
          </w:tcPr>
          <w:p>
            <w:pPr>
              <w:spacing w:after="0" w:line="156" w:lineRule="exact"/>
              <w:rPr>
                <w:rFonts w:ascii="Arial" w:cs="Arial" w:eastAsia="Arial" w:hAnsi="Arial"/>
                <w:sz w:val="18"/>
                <w:szCs w:val="18"/>
                <w:color w:val="0000FF"/>
                <w:w w:val="95"/>
              </w:rPr>
            </w:pPr>
            <w:hyperlink r:id="rId369">
              <w:r>
                <w:rPr>
                  <w:rFonts w:ascii="Arial" w:cs="Arial" w:eastAsia="Arial" w:hAnsi="Arial"/>
                  <w:sz w:val="18"/>
                  <w:szCs w:val="18"/>
                  <w:color w:val="0000FF"/>
                  <w:w w:val="95"/>
                </w:rPr>
                <w:t>(incorporated herein by reference to Exhibit 10.1 to the registrant’s Quarterly Report on Form 10-Q filed with the SEC on August 3,</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69">
              <w:r>
                <w:rPr>
                  <w:rFonts w:ascii="Arial" w:cs="Arial" w:eastAsia="Arial" w:hAnsi="Arial"/>
                  <w:sz w:val="18"/>
                  <w:szCs w:val="18"/>
                  <w:color w:val="0000FF"/>
                  <w:w w:val="86"/>
                </w:rPr>
                <w:t>2020).</w:t>
              </w:r>
            </w:hyperlink>
          </w:p>
        </w:tc>
        <w:tc>
          <w:tcPr>
            <w:tcW w:w="29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10.35</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5"/>
              </w:rPr>
            </w:pPr>
            <w:hyperlink r:id="rId370">
              <w:r>
                <w:rPr>
                  <w:rFonts w:ascii="Arial" w:cs="Arial" w:eastAsia="Arial" w:hAnsi="Arial"/>
                  <w:sz w:val="18"/>
                  <w:szCs w:val="18"/>
                  <w:color w:val="0000FF"/>
                  <w:w w:val="95"/>
                </w:rPr>
                <w:t>Amendment No. 5 to Second Amended and Restated Revolving Loan Credit Agreement, dated June 29, 2020, by and among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370">
              <w:r>
                <w:rPr>
                  <w:rFonts w:ascii="Arial" w:cs="Arial" w:eastAsia="Arial" w:hAnsi="Arial"/>
                  <w:sz w:val="18"/>
                  <w:szCs w:val="18"/>
                  <w:color w:val="0000FF"/>
                  <w:w w:val="89"/>
                </w:rPr>
                <w:t>registrant, certain subsidiaries signatory thereto, the lenders party thereto and Morgan Stanley Senior Funding Inc., as agent.</w:t>
              </w:r>
            </w:hyperlink>
          </w:p>
        </w:tc>
        <w:tc>
          <w:tcPr>
            <w:tcW w:w="3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5"/>
          </w:tcPr>
          <w:p>
            <w:pPr>
              <w:spacing w:after="0" w:line="156" w:lineRule="exact"/>
              <w:rPr>
                <w:rFonts w:ascii="Arial" w:cs="Arial" w:eastAsia="Arial" w:hAnsi="Arial"/>
                <w:sz w:val="18"/>
                <w:szCs w:val="18"/>
                <w:color w:val="0000FF"/>
                <w:w w:val="95"/>
              </w:rPr>
            </w:pPr>
            <w:hyperlink r:id="rId370">
              <w:r>
                <w:rPr>
                  <w:rFonts w:ascii="Arial" w:cs="Arial" w:eastAsia="Arial" w:hAnsi="Arial"/>
                  <w:sz w:val="18"/>
                  <w:szCs w:val="18"/>
                  <w:color w:val="0000FF"/>
                  <w:w w:val="95"/>
                </w:rPr>
                <w:t>(incorporated herein by reference to Exhibit 10.4 to the registrant’s Quarterly Report on Form 10-Q filed with the SEC on August 3,</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70">
              <w:r>
                <w:rPr>
                  <w:rFonts w:ascii="Arial" w:cs="Arial" w:eastAsia="Arial" w:hAnsi="Arial"/>
                  <w:sz w:val="18"/>
                  <w:szCs w:val="18"/>
                  <w:color w:val="0000FF"/>
                  <w:w w:val="86"/>
                </w:rPr>
                <w:t>2020).</w:t>
              </w:r>
            </w:hyperlink>
          </w:p>
        </w:tc>
        <w:tc>
          <w:tcPr>
            <w:tcW w:w="29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10.36</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FF"/>
                <w:w w:val="96"/>
              </w:rPr>
            </w:pPr>
            <w:hyperlink r:id="rId371">
              <w:r>
                <w:rPr>
                  <w:rFonts w:ascii="Arial" w:cs="Arial" w:eastAsia="Arial" w:hAnsi="Arial"/>
                  <w:sz w:val="18"/>
                  <w:szCs w:val="18"/>
                  <w:color w:val="0000FF"/>
                  <w:w w:val="96"/>
                </w:rPr>
                <w:t>Amendment No. 6 to Second Amended and Restated Revolving Loan Credit Agreement, dated July 30, 2021, by and among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371">
              <w:r>
                <w:rPr>
                  <w:rFonts w:ascii="Arial" w:cs="Arial" w:eastAsia="Arial" w:hAnsi="Arial"/>
                  <w:sz w:val="18"/>
                  <w:szCs w:val="18"/>
                  <w:color w:val="0000FF"/>
                  <w:w w:val="90"/>
                </w:rPr>
                <w:t>registrant and certain subsidiaries signatory thereto, the lenders party thereto and Morgan Stanley Senior Funding, Inc., as agent</w:t>
              </w:r>
            </w:hyperlink>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371">
              <w:r>
                <w:rPr>
                  <w:rFonts w:ascii="Arial" w:cs="Arial" w:eastAsia="Arial" w:hAnsi="Arial"/>
                  <w:sz w:val="18"/>
                  <w:szCs w:val="18"/>
                  <w:color w:val="0000FF"/>
                  <w:w w:val="91"/>
                </w:rPr>
                <w:t>(incorporated by reference to Exhibit 10.5 to the registrant’s Current Report on Form 8-K filed with the SEC on August 3, 2021)</w:t>
              </w:r>
            </w:hyperlink>
          </w:p>
        </w:tc>
        <w:tc>
          <w:tcPr>
            <w:tcW w:w="100" w:type="dxa"/>
            <w:vAlign w:val="bottom"/>
            <w:tcBorders>
              <w:bottom w:val="single" w:sz="8" w:color="0000FF"/>
            </w:tcBorders>
            <w:gridSpan w:val="5"/>
          </w:tcPr>
          <w:p>
            <w:pPr>
              <w:jc w:val="center"/>
              <w:spacing w:after="0" w:line="156" w:lineRule="exact"/>
              <w:rPr>
                <w:rFonts w:ascii="Arial" w:cs="Arial" w:eastAsia="Arial" w:hAnsi="Arial"/>
                <w:sz w:val="18"/>
                <w:szCs w:val="18"/>
                <w:color w:val="0000FF"/>
              </w:rPr>
            </w:pPr>
            <w:hyperlink r:id="rId371">
              <w:r>
                <w:rPr>
                  <w:rFonts w:ascii="Arial" w:cs="Arial" w:eastAsia="Arial" w:hAnsi="Arial"/>
                  <w:sz w:val="18"/>
                  <w:szCs w:val="18"/>
                  <w:color w:val="0000FF"/>
                </w:rPr>
                <w:t>.</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40" w:type="dxa"/>
            <w:vAlign w:val="bottom"/>
            <w:gridSpan w:val="4"/>
          </w:tcPr>
          <w:p>
            <w:pPr>
              <w:jc w:val="center"/>
              <w:ind w:left="310"/>
              <w:spacing w:after="0"/>
              <w:rPr>
                <w:sz w:val="20"/>
                <w:szCs w:val="20"/>
                <w:color w:val="auto"/>
              </w:rPr>
            </w:pPr>
            <w:r>
              <w:rPr>
                <w:rFonts w:ascii="Arial" w:cs="Arial" w:eastAsia="Arial" w:hAnsi="Arial"/>
                <w:sz w:val="18"/>
                <w:szCs w:val="18"/>
                <w:color w:val="auto"/>
                <w:w w:val="88"/>
              </w:rPr>
              <w:t>10.37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gridSpan w:val="35"/>
          </w:tcPr>
          <w:p>
            <w:pPr>
              <w:spacing w:after="0"/>
              <w:rPr>
                <w:rFonts w:ascii="Arial" w:cs="Arial" w:eastAsia="Arial" w:hAnsi="Arial"/>
                <w:sz w:val="18"/>
                <w:szCs w:val="18"/>
                <w:color w:val="0000FF"/>
                <w:w w:val="95"/>
              </w:rPr>
            </w:pPr>
            <w:hyperlink r:id="rId372">
              <w:r>
                <w:rPr>
                  <w:rFonts w:ascii="Arial" w:cs="Arial" w:eastAsia="Arial" w:hAnsi="Arial"/>
                  <w:sz w:val="18"/>
                  <w:szCs w:val="18"/>
                  <w:color w:val="0000FF"/>
                  <w:w w:val="95"/>
                </w:rPr>
                <w:t>Senior Secured Term Loan Credit Agreement, dated October 30, 2015, by and among the registrant, certain subsidiaries signatory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372">
              <w:r>
                <w:rPr>
                  <w:rFonts w:ascii="Arial" w:cs="Arial" w:eastAsia="Arial" w:hAnsi="Arial"/>
                  <w:sz w:val="18"/>
                  <w:szCs w:val="18"/>
                  <w:color w:val="0000FF"/>
                  <w:w w:val="92"/>
                </w:rPr>
                <w:t>thereto, Morgan Stanley Senior Funding, Inc., as agent, and the Lenders from time to time party thereto (incorporated herein by</w:t>
              </w:r>
            </w:hyperlink>
          </w:p>
        </w:tc>
        <w:tc>
          <w:tcPr>
            <w:tcW w:w="80" w:type="dxa"/>
            <w:vAlign w:val="bottom"/>
            <w:gridSpan w:val="2"/>
          </w:tcPr>
          <w:p>
            <w:pPr>
              <w:spacing w:after="0"/>
              <w:rPr>
                <w:sz w:val="13"/>
                <w:szCs w:val="13"/>
                <w:color w:val="auto"/>
              </w:rPr>
            </w:pPr>
          </w:p>
        </w:tc>
        <w:tc>
          <w:tcPr>
            <w:tcW w:w="4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72">
              <w:r>
                <w:rPr>
                  <w:rFonts w:ascii="Arial" w:cs="Arial" w:eastAsia="Arial" w:hAnsi="Arial"/>
                  <w:sz w:val="18"/>
                  <w:szCs w:val="18"/>
                  <w:color w:val="0000FF"/>
                </w:rPr>
                <w:t>reference to Exhibit 10.2 to the registrant’s Current Report on Form 8-K filed with the SEC on November 2, 2015).</w:t>
              </w:r>
            </w:hyperlink>
          </w:p>
        </w:tc>
        <w:tc>
          <w:tcPr>
            <w:tcW w:w="280" w:type="dxa"/>
            <w:vAlign w:val="bottom"/>
            <w:gridSpan w:val="10"/>
          </w:tcPr>
          <w:p>
            <w:pPr>
              <w:spacing w:after="0"/>
              <w:rPr>
                <w:sz w:val="13"/>
                <w:szCs w:val="13"/>
                <w:color w:val="auto"/>
              </w:rPr>
            </w:pPr>
          </w:p>
        </w:tc>
        <w:tc>
          <w:tcPr>
            <w:tcW w:w="4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3"/>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Arial" w:cs="Arial" w:eastAsia="Arial" w:hAnsi="Arial"/>
                <w:sz w:val="18"/>
                <w:szCs w:val="18"/>
                <w:color w:val="FFFFFF"/>
              </w:rPr>
              <w:t>107</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80" w:type="dxa"/>
            <w:vAlign w:val="bottom"/>
            <w:gridSpan w:val="29"/>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15" w:lineRule="exact"/>
              <w:rPr>
                <w:sz w:val="20"/>
                <w:szCs w:val="20"/>
                <w:color w:val="auto"/>
              </w:rPr>
            </w:pPr>
            <w:r>
              <w:rPr>
                <w:rFonts w:ascii="Arial" w:cs="Arial" w:eastAsia="Arial" w:hAnsi="Arial"/>
                <w:sz w:val="13"/>
                <w:szCs w:val="13"/>
                <w:b w:val="1"/>
                <w:bCs w:val="1"/>
                <w:color w:val="auto"/>
                <w:w w:val="89"/>
              </w:rPr>
              <w:t>Number</w:t>
            </w:r>
          </w:p>
        </w:tc>
        <w:tc>
          <w:tcPr>
            <w:tcW w:w="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8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8"/>
              </w:rPr>
              <w:t>10.38</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2"/>
              </w:rPr>
            </w:pPr>
            <w:hyperlink r:id="rId375">
              <w:r>
                <w:rPr>
                  <w:rFonts w:ascii="Arial" w:cs="Arial" w:eastAsia="Arial" w:hAnsi="Arial"/>
                  <w:sz w:val="18"/>
                  <w:szCs w:val="18"/>
                  <w:color w:val="0000FF"/>
                  <w:w w:val="92"/>
                </w:rPr>
                <w:t>Incremental and Refinancing Amendment (Amendment No. 1 to Senior Secured Term Loan Credit Agreement), dated August 25, 2016,</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375">
              <w:r>
                <w:rPr>
                  <w:rFonts w:ascii="Arial" w:cs="Arial" w:eastAsia="Arial" w:hAnsi="Arial"/>
                  <w:sz w:val="18"/>
                  <w:szCs w:val="18"/>
                  <w:color w:val="0000FF"/>
                  <w:w w:val="93"/>
                </w:rPr>
                <w:t>by and among the registrant, the subsidiaries signatory thereto, as guarantors, the lenders party thereto and Morgan Stanley Senior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375">
              <w:r>
                <w:rPr>
                  <w:rFonts w:ascii="Arial" w:cs="Arial" w:eastAsia="Arial" w:hAnsi="Arial"/>
                  <w:sz w:val="18"/>
                  <w:szCs w:val="18"/>
                  <w:color w:val="0000FF"/>
                  <w:w w:val="91"/>
                </w:rPr>
                <w:t>Funding, Inc., as administrative agent (incorporated herein by reference to Exhibit 10.1 to the registrant’s Current Report on Form</w:t>
              </w:r>
            </w:hyperlink>
          </w:p>
        </w:tc>
        <w:tc>
          <w:tcPr>
            <w:tcW w:w="560" w:type="dxa"/>
            <w:vAlign w:val="bottom"/>
            <w:gridSpan w:val="15"/>
          </w:tcPr>
          <w:p>
            <w:pPr>
              <w:ind w:left="40"/>
              <w:spacing w:after="0" w:line="156" w:lineRule="exact"/>
              <w:rPr>
                <w:rFonts w:ascii="Arial" w:cs="Arial" w:eastAsia="Arial" w:hAnsi="Arial"/>
                <w:sz w:val="18"/>
                <w:szCs w:val="18"/>
                <w:color w:val="0000FF"/>
              </w:rPr>
            </w:pPr>
            <w:hyperlink r:id="rId375">
              <w:r>
                <w:rPr>
                  <w:rFonts w:ascii="Arial" w:cs="Arial" w:eastAsia="Arial" w:hAnsi="Arial"/>
                  <w:sz w:val="18"/>
                  <w:szCs w:val="18"/>
                  <w:color w:val="0000FF"/>
                </w:rPr>
                <w:t>8-K</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75">
              <w:r>
                <w:rPr>
                  <w:rFonts w:ascii="Arial" w:cs="Arial" w:eastAsia="Arial" w:hAnsi="Arial"/>
                  <w:sz w:val="18"/>
                  <w:szCs w:val="18"/>
                  <w:color w:val="0000FF"/>
                </w:rPr>
                <w:t>filed with the SEC on August 26,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10.39</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1"/>
              </w:rPr>
            </w:pPr>
            <w:hyperlink r:id="rId376">
              <w:r>
                <w:rPr>
                  <w:rFonts w:ascii="Arial" w:cs="Arial" w:eastAsia="Arial" w:hAnsi="Arial"/>
                  <w:sz w:val="18"/>
                  <w:szCs w:val="18"/>
                  <w:color w:val="0000FF"/>
                  <w:w w:val="91"/>
                </w:rPr>
                <w:t>Refinancing Amendment (Amendment No. 2 to Senior Secured Term Loan Credit Agreement), dated March 10, 2017,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20" w:type="dxa"/>
            <w:vAlign w:val="bottom"/>
            <w:tcBorders>
              <w:top w:val="single" w:sz="8" w:color="0000FF"/>
            </w:tcBorders>
            <w:gridSpan w:val="37"/>
          </w:tcPr>
          <w:p>
            <w:pPr>
              <w:spacing w:after="0" w:line="156" w:lineRule="exact"/>
              <w:rPr>
                <w:rFonts w:ascii="Arial" w:cs="Arial" w:eastAsia="Arial" w:hAnsi="Arial"/>
                <w:sz w:val="18"/>
                <w:szCs w:val="18"/>
                <w:color w:val="0000FF"/>
                <w:w w:val="95"/>
              </w:rPr>
            </w:pPr>
            <w:hyperlink r:id="rId376">
              <w:r>
                <w:rPr>
                  <w:rFonts w:ascii="Arial" w:cs="Arial" w:eastAsia="Arial" w:hAnsi="Arial"/>
                  <w:sz w:val="18"/>
                  <w:szCs w:val="18"/>
                  <w:color w:val="0000FF"/>
                  <w:w w:val="95"/>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w w:val="92"/>
              </w:rPr>
            </w:pPr>
            <w:hyperlink r:id="rId376">
              <w:r>
                <w:rPr>
                  <w:rFonts w:ascii="Arial" w:cs="Arial" w:eastAsia="Arial" w:hAnsi="Arial"/>
                  <w:sz w:val="18"/>
                  <w:szCs w:val="18"/>
                  <w:color w:val="0000FF"/>
                  <w:w w:val="92"/>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376">
              <w:r>
                <w:rPr>
                  <w:rFonts w:ascii="Arial" w:cs="Arial" w:eastAsia="Arial" w:hAnsi="Arial"/>
                  <w:sz w:val="18"/>
                  <w:szCs w:val="18"/>
                  <w:color w:val="0000FF"/>
                  <w:w w:val="90"/>
                </w:rPr>
                <w:t>on March 13, 2017).</w:t>
              </w:r>
            </w:hyperlink>
          </w:p>
        </w:tc>
        <w:tc>
          <w:tcPr>
            <w:tcW w:w="83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10.40</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2"/>
              </w:rPr>
            </w:pPr>
            <w:hyperlink r:id="rId377">
              <w:r>
                <w:rPr>
                  <w:rFonts w:ascii="Arial" w:cs="Arial" w:eastAsia="Arial" w:hAnsi="Arial"/>
                  <w:sz w:val="18"/>
                  <w:szCs w:val="18"/>
                  <w:color w:val="0000FF"/>
                  <w:w w:val="92"/>
                </w:rPr>
                <w:t>Refinancing Amendment (Amendment No. 3 to Senior Secured Term Loan Credit Agreement), dated February 23, 2018, by and among</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9"/>
              </w:rPr>
            </w:pPr>
            <w:hyperlink r:id="rId377">
              <w:r>
                <w:rPr>
                  <w:rFonts w:ascii="Arial" w:cs="Arial" w:eastAsia="Arial" w:hAnsi="Arial"/>
                  <w:sz w:val="18"/>
                  <w:szCs w:val="18"/>
                  <w:color w:val="0000FF"/>
                  <w:w w:val="89"/>
                </w:rPr>
                <w:t>the registrant and certain subsidiaries signatory thereto, the lenders party thereto and Morgan Stanley Senior Funding, Inc., as</w:t>
              </w:r>
            </w:hyperlink>
          </w:p>
        </w:tc>
        <w:tc>
          <w:tcPr>
            <w:tcW w:w="76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w w:val="92"/>
              </w:rPr>
            </w:pPr>
            <w:hyperlink r:id="rId377">
              <w:r>
                <w:rPr>
                  <w:rFonts w:ascii="Arial" w:cs="Arial" w:eastAsia="Arial" w:hAnsi="Arial"/>
                  <w:sz w:val="18"/>
                  <w:szCs w:val="18"/>
                  <w:color w:val="0000FF"/>
                  <w:w w:val="92"/>
                </w:rPr>
                <w:t>administrative agent (incorporated herein by reference to Exhibit 10.1 of the registrant’s Current Report on Form 8-K filed with the SEC</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377">
              <w:r>
                <w:rPr>
                  <w:rFonts w:ascii="Arial" w:cs="Arial" w:eastAsia="Arial" w:hAnsi="Arial"/>
                  <w:sz w:val="18"/>
                  <w:szCs w:val="18"/>
                  <w:color w:val="0000FF"/>
                  <w:w w:val="89"/>
                </w:rPr>
                <w:t>on February 26, 2018).</w:t>
              </w:r>
            </w:hyperlink>
          </w:p>
        </w:tc>
        <w:tc>
          <w:tcPr>
            <w:tcW w:w="82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10.41</w:t>
            </w:r>
          </w:p>
        </w:tc>
        <w:tc>
          <w:tcPr>
            <w:tcW w:w="480" w:type="dxa"/>
            <w:vAlign w:val="bottom"/>
          </w:tcPr>
          <w:p>
            <w:pPr>
              <w:spacing w:after="0"/>
              <w:rPr>
                <w:sz w:val="22"/>
                <w:szCs w:val="22"/>
                <w:color w:val="auto"/>
              </w:rPr>
            </w:pPr>
          </w:p>
        </w:tc>
        <w:tc>
          <w:tcPr>
            <w:tcW w:w="9360" w:type="dxa"/>
            <w:vAlign w:val="bottom"/>
            <w:tcBorders>
              <w:bottom w:val="single" w:sz="8" w:color="0000FF"/>
            </w:tcBorders>
            <w:gridSpan w:val="22"/>
          </w:tcPr>
          <w:p>
            <w:pPr>
              <w:spacing w:after="0"/>
              <w:rPr>
                <w:rFonts w:ascii="Arial" w:cs="Arial" w:eastAsia="Arial" w:hAnsi="Arial"/>
                <w:sz w:val="18"/>
                <w:szCs w:val="18"/>
                <w:color w:val="0000FF"/>
                <w:w w:val="90"/>
              </w:rPr>
            </w:pPr>
            <w:hyperlink r:id="rId378">
              <w:r>
                <w:rPr>
                  <w:rFonts w:ascii="Arial" w:cs="Arial" w:eastAsia="Arial" w:hAnsi="Arial"/>
                  <w:sz w:val="18"/>
                  <w:szCs w:val="18"/>
                  <w:color w:val="0000FF"/>
                  <w:w w:val="90"/>
                </w:rPr>
                <w:t>Amendment No. 4 to Senior Secured Term Loan Credit Agreement, dated March 7, 2019, by and among the registrant and certain</w:t>
              </w:r>
            </w:hyperlink>
          </w:p>
        </w:tc>
        <w:tc>
          <w:tcPr>
            <w:tcW w:w="58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w w:val="92"/>
              </w:rPr>
            </w:pPr>
            <w:hyperlink r:id="rId378">
              <w:r>
                <w:rPr>
                  <w:rFonts w:ascii="Arial" w:cs="Arial" w:eastAsia="Arial" w:hAnsi="Arial"/>
                  <w:sz w:val="18"/>
                  <w:szCs w:val="18"/>
                  <w:color w:val="0000FF"/>
                  <w:w w:val="92"/>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78">
              <w:r>
                <w:rPr>
                  <w:rFonts w:ascii="Arial" w:cs="Arial" w:eastAsia="Arial" w:hAnsi="Arial"/>
                  <w:sz w:val="18"/>
                  <w:szCs w:val="18"/>
                  <w:color w:val="0000FF"/>
                  <w:w w:val="91"/>
                </w:rPr>
                <w:t>herein by reference to Exhibit 10.1 to the registrant’s Quarterly Report on Form 10-Q filed with the SEC on May 1, 2019).</w:t>
              </w:r>
            </w:hyperlink>
          </w:p>
        </w:tc>
        <w:tc>
          <w:tcPr>
            <w:tcW w:w="9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10.42</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1"/>
              </w:rPr>
            </w:pPr>
            <w:hyperlink r:id="rId379">
              <w:r>
                <w:rPr>
                  <w:rFonts w:ascii="Arial" w:cs="Arial" w:eastAsia="Arial" w:hAnsi="Arial"/>
                  <w:sz w:val="18"/>
                  <w:szCs w:val="18"/>
                  <w:color w:val="0000FF"/>
                  <w:w w:val="91"/>
                </w:rPr>
                <w:t>Incremental Amendment (Amendment No. 5 to Senior Secured Term Loan Credit Agreement), dated March 18, 2019,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00" w:type="dxa"/>
            <w:vAlign w:val="bottom"/>
            <w:tcBorders>
              <w:top w:val="single" w:sz="8" w:color="0000FF"/>
            </w:tcBorders>
            <w:gridSpan w:val="36"/>
          </w:tcPr>
          <w:p>
            <w:pPr>
              <w:spacing w:after="0" w:line="156" w:lineRule="exact"/>
              <w:rPr>
                <w:rFonts w:ascii="Arial" w:cs="Arial" w:eastAsia="Arial" w:hAnsi="Arial"/>
                <w:sz w:val="18"/>
                <w:szCs w:val="18"/>
                <w:color w:val="0000FF"/>
                <w:w w:val="95"/>
              </w:rPr>
            </w:pPr>
            <w:hyperlink r:id="rId379">
              <w:r>
                <w:rPr>
                  <w:rFonts w:ascii="Arial" w:cs="Arial" w:eastAsia="Arial" w:hAnsi="Arial"/>
                  <w:sz w:val="18"/>
                  <w:szCs w:val="18"/>
                  <w:color w:val="0000FF"/>
                  <w:w w:val="95"/>
                </w:rPr>
                <w:t>registrant, the subsidiaries signatory thereto, as guarantors, the lenders party thereto and Morgan Stanley Senior Funding, Inc.,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w w:val="92"/>
              </w:rPr>
            </w:pPr>
            <w:hyperlink r:id="rId379">
              <w:r>
                <w:rPr>
                  <w:rFonts w:ascii="Arial" w:cs="Arial" w:eastAsia="Arial" w:hAnsi="Arial"/>
                  <w:sz w:val="18"/>
                  <w:szCs w:val="18"/>
                  <w:color w:val="0000FF"/>
                  <w:w w:val="92"/>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379">
              <w:r>
                <w:rPr>
                  <w:rFonts w:ascii="Arial" w:cs="Arial" w:eastAsia="Arial" w:hAnsi="Arial"/>
                  <w:sz w:val="18"/>
                  <w:szCs w:val="18"/>
                  <w:color w:val="0000FF"/>
                  <w:w w:val="90"/>
                </w:rPr>
                <w:t>on March 18, 2019).</w:t>
              </w:r>
            </w:hyperlink>
          </w:p>
        </w:tc>
        <w:tc>
          <w:tcPr>
            <w:tcW w:w="836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10.43</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2"/>
              </w:rPr>
            </w:pPr>
            <w:hyperlink r:id="rId380">
              <w:r>
                <w:rPr>
                  <w:rFonts w:ascii="Arial" w:cs="Arial" w:eastAsia="Arial" w:hAnsi="Arial"/>
                  <w:sz w:val="18"/>
                  <w:szCs w:val="18"/>
                  <w:color w:val="0000FF"/>
                  <w:w w:val="92"/>
                </w:rPr>
                <w:t>Refinancing Amendment (Amendment No. 6 to Senior Secured Term Loan Credit Agreement), dated March 3, 2021,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380">
              <w:r>
                <w:rPr>
                  <w:rFonts w:ascii="Arial" w:cs="Arial" w:eastAsia="Arial" w:hAnsi="Arial"/>
                  <w:sz w:val="18"/>
                  <w:szCs w:val="18"/>
                  <w:color w:val="0000FF"/>
                  <w:w w:val="94"/>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w w:val="92"/>
              </w:rPr>
            </w:pPr>
            <w:hyperlink r:id="rId380">
              <w:r>
                <w:rPr>
                  <w:rFonts w:ascii="Arial" w:cs="Arial" w:eastAsia="Arial" w:hAnsi="Arial"/>
                  <w:sz w:val="18"/>
                  <w:szCs w:val="18"/>
                  <w:color w:val="0000FF"/>
                  <w:w w:val="92"/>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80">
              <w:r>
                <w:rPr>
                  <w:rFonts w:ascii="Arial" w:cs="Arial" w:eastAsia="Arial" w:hAnsi="Arial"/>
                  <w:sz w:val="18"/>
                  <w:szCs w:val="18"/>
                  <w:color w:val="0000FF"/>
                </w:rPr>
                <w:t>on March 3, 2021).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10.44</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1"/>
              </w:rPr>
            </w:pPr>
            <w:hyperlink r:id="rId381">
              <w:r>
                <w:rPr>
                  <w:rFonts w:ascii="Arial" w:cs="Arial" w:eastAsia="Arial" w:hAnsi="Arial"/>
                  <w:sz w:val="18"/>
                  <w:szCs w:val="18"/>
                  <w:color w:val="0000FF"/>
                  <w:w w:val="91"/>
                </w:rPr>
                <w:t>Transition Services Agreement, dated August 1, 2021, by and between the registrant and GXO Logistics, Inc. (incorporated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81">
              <w:r>
                <w:rPr>
                  <w:rFonts w:ascii="Arial" w:cs="Arial" w:eastAsia="Arial" w:hAnsi="Arial"/>
                  <w:sz w:val="18"/>
                  <w:szCs w:val="18"/>
                  <w:color w:val="0000FF"/>
                </w:rPr>
                <w:t>to Exhibit 10.1 to the registrant’s Current Report on Form 8-K filed with the SEC on August 3, 2021).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10.45</w:t>
            </w:r>
          </w:p>
        </w:tc>
        <w:tc>
          <w:tcPr>
            <w:tcW w:w="480" w:type="dxa"/>
            <w:vAlign w:val="bottom"/>
          </w:tcPr>
          <w:p>
            <w:pPr>
              <w:spacing w:after="0"/>
              <w:rPr>
                <w:sz w:val="22"/>
                <w:szCs w:val="22"/>
                <w:color w:val="auto"/>
              </w:rPr>
            </w:pPr>
          </w:p>
        </w:tc>
        <w:tc>
          <w:tcPr>
            <w:tcW w:w="9500" w:type="dxa"/>
            <w:vAlign w:val="bottom"/>
            <w:tcBorders>
              <w:bottom w:val="single" w:sz="8" w:color="0000FF"/>
            </w:tcBorders>
            <w:gridSpan w:val="25"/>
          </w:tcPr>
          <w:p>
            <w:pPr>
              <w:spacing w:after="0"/>
              <w:rPr>
                <w:rFonts w:ascii="Arial" w:cs="Arial" w:eastAsia="Arial" w:hAnsi="Arial"/>
                <w:sz w:val="18"/>
                <w:szCs w:val="18"/>
                <w:color w:val="0000FF"/>
                <w:w w:val="90"/>
              </w:rPr>
            </w:pPr>
            <w:hyperlink r:id="rId382">
              <w:r>
                <w:rPr>
                  <w:rFonts w:ascii="Arial" w:cs="Arial" w:eastAsia="Arial" w:hAnsi="Arial"/>
                  <w:sz w:val="18"/>
                  <w:szCs w:val="18"/>
                  <w:color w:val="0000FF"/>
                  <w:w w:val="90"/>
                </w:rPr>
                <w:t>Tax Matters Agreement, dated August 1, 2021, by and between the registrant and GXO Logistics, Inc. (incorporated by reference to</w:t>
              </w:r>
            </w:hyperlink>
          </w:p>
        </w:tc>
        <w:tc>
          <w:tcPr>
            <w:tcW w:w="44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160" w:type="dxa"/>
            <w:vAlign w:val="bottom"/>
            <w:tcBorders>
              <w:bottom w:val="single" w:sz="8" w:color="0000FF"/>
            </w:tcBorders>
            <w:gridSpan w:val="14"/>
          </w:tcPr>
          <w:p>
            <w:pPr>
              <w:spacing w:after="0" w:line="156" w:lineRule="exact"/>
              <w:rPr>
                <w:rFonts w:ascii="Arial" w:cs="Arial" w:eastAsia="Arial" w:hAnsi="Arial"/>
                <w:sz w:val="18"/>
                <w:szCs w:val="18"/>
                <w:color w:val="0000FF"/>
                <w:w w:val="92"/>
              </w:rPr>
            </w:pPr>
            <w:hyperlink r:id="rId382">
              <w:r>
                <w:rPr>
                  <w:rFonts w:ascii="Arial" w:cs="Arial" w:eastAsia="Arial" w:hAnsi="Arial"/>
                  <w:sz w:val="18"/>
                  <w:szCs w:val="18"/>
                  <w:color w:val="0000FF"/>
                  <w:w w:val="92"/>
                </w:rPr>
                <w:t>Exhibit 10.2 to the registrant’s Current Report on Form 8-K filed with the SEC on August 3, 2021).</w:t>
              </w:r>
            </w:hyperlink>
          </w:p>
        </w:tc>
        <w:tc>
          <w:tcPr>
            <w:tcW w:w="27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10.46</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2"/>
              </w:rPr>
            </w:pPr>
            <w:hyperlink r:id="rId383">
              <w:r>
                <w:rPr>
                  <w:rFonts w:ascii="Arial" w:cs="Arial" w:eastAsia="Arial" w:hAnsi="Arial"/>
                  <w:sz w:val="18"/>
                  <w:szCs w:val="18"/>
                  <w:color w:val="0000FF"/>
                  <w:w w:val="92"/>
                </w:rPr>
                <w:t>Employee Matters Agreement, dated August 1, 2021, by and between the registrant and GXO Logistics, Inc. (incorporated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83">
              <w:r>
                <w:rPr>
                  <w:rFonts w:ascii="Arial" w:cs="Arial" w:eastAsia="Arial" w:hAnsi="Arial"/>
                  <w:sz w:val="18"/>
                  <w:szCs w:val="18"/>
                  <w:color w:val="0000FF"/>
                </w:rPr>
                <w:t>to Exhibit 10.3 to the registrant’s Current Report on Form 8-K filed with the SEC on August 3, 2021).</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10.47</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w w:val="93"/>
              </w:rPr>
            </w:pPr>
            <w:hyperlink r:id="rId384">
              <w:r>
                <w:rPr>
                  <w:rFonts w:ascii="Arial" w:cs="Arial" w:eastAsia="Arial" w:hAnsi="Arial"/>
                  <w:sz w:val="18"/>
                  <w:szCs w:val="18"/>
                  <w:color w:val="0000FF"/>
                  <w:w w:val="93"/>
                </w:rPr>
                <w:t>Intellectual Property License Agreement, dated July 30, 2021, by and between the registrant and GXO Logistics, Inc.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384">
              <w:r>
                <w:rPr>
                  <w:rFonts w:ascii="Arial" w:cs="Arial" w:eastAsia="Arial" w:hAnsi="Arial"/>
                  <w:sz w:val="18"/>
                  <w:szCs w:val="18"/>
                  <w:color w:val="0000FF"/>
                  <w:w w:val="91"/>
                </w:rPr>
                <w:t>reference to Exhibit 10.4 to the registrant’s Current Report on Form 8-K filed with the SEC on August 3, 2021).</w:t>
              </w:r>
            </w:hyperlink>
          </w:p>
        </w:tc>
        <w:tc>
          <w:tcPr>
            <w:tcW w:w="1620" w:type="dxa"/>
            <w:vAlign w:val="bottom"/>
            <w:tcBorders>
              <w:top w:val="single" w:sz="8" w:color="0000FF"/>
            </w:tcBorders>
            <w:gridSpan w:val="10"/>
          </w:tcPr>
          <w:p>
            <w:pPr>
              <w:spacing w:after="0"/>
              <w:rPr>
                <w:sz w:val="13"/>
                <w:szCs w:val="13"/>
                <w:color w:val="auto"/>
              </w:rPr>
            </w:pPr>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99"/>
              </w:rPr>
              <w:t>21 *</w:t>
            </w:r>
          </w:p>
        </w:tc>
        <w:tc>
          <w:tcPr>
            <w:tcW w:w="480" w:type="dxa"/>
            <w:vAlign w:val="bottom"/>
          </w:tcPr>
          <w:p>
            <w:pPr>
              <w:spacing w:after="0"/>
              <w:rPr>
                <w:sz w:val="22"/>
                <w:szCs w:val="22"/>
                <w:color w:val="auto"/>
              </w:rPr>
            </w:pPr>
          </w:p>
        </w:tc>
        <w:tc>
          <w:tcPr>
            <w:tcW w:w="212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Subsidiaries of the registrant.</w:t>
              </w:r>
            </w:hyperlink>
          </w:p>
        </w:tc>
        <w:tc>
          <w:tcPr>
            <w:tcW w:w="7820" w:type="dxa"/>
            <w:vAlign w:val="bottom"/>
            <w:gridSpan w:val="3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99"/>
              </w:rPr>
              <w:t>23 *</w:t>
            </w:r>
          </w:p>
        </w:tc>
        <w:tc>
          <w:tcPr>
            <w:tcW w:w="480" w:type="dxa"/>
            <w:vAlign w:val="bottom"/>
          </w:tcPr>
          <w:p>
            <w:pPr>
              <w:spacing w:after="0"/>
              <w:rPr>
                <w:sz w:val="22"/>
                <w:szCs w:val="22"/>
                <w:color w:val="auto"/>
              </w:rPr>
            </w:pPr>
          </w:p>
        </w:tc>
        <w:tc>
          <w:tcPr>
            <w:tcW w:w="532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Consent of KPMG LLP, Independent Registered Public Accounting Firm.</w:t>
              </w:r>
            </w:hyperlink>
          </w:p>
        </w:tc>
        <w:tc>
          <w:tcPr>
            <w:tcW w:w="462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93"/>
              </w:rPr>
              <w:t>31.1 *</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Certification of the Principal Executive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26">
              <w:r>
                <w:rPr>
                  <w:rFonts w:ascii="Arial" w:cs="Arial" w:eastAsia="Arial" w:hAnsi="Arial"/>
                  <w:sz w:val="18"/>
                  <w:szCs w:val="18"/>
                  <w:color w:val="0000FF"/>
                  <w:w w:val="90"/>
                </w:rPr>
                <w:t>registrant’s Annual Report on Form 10-K for the fiscal year ended December 31, 2021.</w:t>
              </w:r>
            </w:hyperlink>
          </w:p>
        </w:tc>
        <w:tc>
          <w:tcPr>
            <w:tcW w:w="2840" w:type="dxa"/>
            <w:vAlign w:val="bottom"/>
            <w:tcBorders>
              <w:top w:val="single" w:sz="8" w:color="0000FF"/>
            </w:tcBorders>
            <w:gridSpan w:val="7"/>
          </w:tcPr>
          <w:p>
            <w:pPr>
              <w:spacing w:after="0"/>
              <w:rPr>
                <w:sz w:val="13"/>
                <w:szCs w:val="13"/>
                <w:color w:val="auto"/>
              </w:rPr>
            </w:pPr>
          </w:p>
        </w:tc>
        <w:tc>
          <w:tcPr>
            <w:tcW w:w="340" w:type="dxa"/>
            <w:vAlign w:val="bottom"/>
            <w:gridSpan w:val="4"/>
          </w:tcPr>
          <w:p>
            <w:pPr>
              <w:spacing w:after="0"/>
              <w:rPr>
                <w:sz w:val="13"/>
                <w:szCs w:val="13"/>
                <w:color w:val="auto"/>
              </w:rPr>
            </w:pPr>
          </w:p>
        </w:tc>
        <w:tc>
          <w:tcPr>
            <w:tcW w:w="4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Arial" w:cs="Arial" w:eastAsia="Arial" w:hAnsi="Arial"/>
                <w:sz w:val="18"/>
                <w:szCs w:val="18"/>
                <w:color w:val="auto"/>
                <w:w w:val="93"/>
              </w:rPr>
              <w:t>31.2 *</w:t>
            </w:r>
          </w:p>
        </w:tc>
        <w:tc>
          <w:tcPr>
            <w:tcW w:w="480" w:type="dxa"/>
            <w:vAlign w:val="bottom"/>
          </w:tcPr>
          <w:p>
            <w:pPr>
              <w:spacing w:after="0"/>
              <w:rPr>
                <w:sz w:val="22"/>
                <w:szCs w:val="22"/>
                <w:color w:val="auto"/>
              </w:rPr>
            </w:pPr>
          </w:p>
        </w:tc>
        <w:tc>
          <w:tcPr>
            <w:tcW w:w="9940" w:type="dxa"/>
            <w:vAlign w:val="bottom"/>
            <w:gridSpan w:val="38"/>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Certification of the Principal Financial Officer pursuant to Section 302 of the Sarbanes-Oxley Act of 2002, with respect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registrant’s Annual Report on Form 10-K for the fiscal year ended December 31, 2021.</w:t>
              </w:r>
            </w:hyperlink>
          </w:p>
        </w:tc>
        <w:tc>
          <w:tcPr>
            <w:tcW w:w="400" w:type="dxa"/>
            <w:vAlign w:val="bottom"/>
            <w:gridSpan w:val="5"/>
          </w:tcPr>
          <w:p>
            <w:pPr>
              <w:spacing w:after="0"/>
              <w:rPr>
                <w:sz w:val="13"/>
                <w:szCs w:val="13"/>
                <w:color w:val="auto"/>
              </w:rPr>
            </w:pPr>
          </w:p>
        </w:tc>
        <w:tc>
          <w:tcPr>
            <w:tcW w:w="4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6"/>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Arial" w:cs="Arial" w:eastAsia="Arial" w:hAnsi="Arial"/>
                <w:sz w:val="18"/>
                <w:szCs w:val="18"/>
                <w:color w:val="FFFFFF"/>
              </w:rPr>
              <w:t>108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9140" w:type="dxa"/>
            <w:vAlign w:val="bottom"/>
            <w:gridSpan w:val="7"/>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3"/>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40" w:type="dxa"/>
            <w:vAlign w:val="bottom"/>
          </w:tcPr>
          <w:p>
            <w:pPr>
              <w:spacing w:after="0"/>
              <w:rPr>
                <w:sz w:val="24"/>
                <w:szCs w:val="2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9140" w:type="dxa"/>
            <w:vAlign w:val="bottom"/>
            <w:gridSpan w:val="7"/>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Certification of the Principal Executive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registrant’s Annual Report on Form 10-K for the fiscal year ended December 31, 2021.</w:t>
              </w:r>
            </w:hyperlink>
          </w:p>
        </w:tc>
        <w:tc>
          <w:tcPr>
            <w:tcW w:w="28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60" w:type="dxa"/>
            <w:vAlign w:val="bottom"/>
            <w:gridSpan w:val="4"/>
          </w:tcPr>
          <w:p>
            <w:pPr>
              <w:jc w:val="center"/>
              <w:ind w:left="3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2"/>
                <w:szCs w:val="22"/>
                <w:color w:val="auto"/>
              </w:rPr>
            </w:pPr>
          </w:p>
        </w:tc>
        <w:tc>
          <w:tcPr>
            <w:tcW w:w="9140" w:type="dxa"/>
            <w:vAlign w:val="bottom"/>
            <w:gridSpan w:val="7"/>
          </w:tcPr>
          <w:p>
            <w:pPr>
              <w:spacing w:after="0"/>
              <w:rPr>
                <w:rFonts w:ascii="Arial" w:cs="Arial" w:eastAsia="Arial" w:hAnsi="Arial"/>
                <w:sz w:val="18"/>
                <w:szCs w:val="18"/>
                <w:color w:val="0000FF"/>
                <w:w w:val="92"/>
              </w:rPr>
            </w:pPr>
            <w:hyperlink w:anchor="page129">
              <w:r>
                <w:rPr>
                  <w:rFonts w:ascii="Arial" w:cs="Arial" w:eastAsia="Arial" w:hAnsi="Arial"/>
                  <w:sz w:val="18"/>
                  <w:szCs w:val="18"/>
                  <w:color w:val="0000FF"/>
                  <w:w w:val="92"/>
                </w:rPr>
                <w:t>Certification of the Principal Financial Officer Pursuant to Section 906 of the Sarbanes-Oxley Act of 2002, with respect to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129">
              <w:r>
                <w:rPr>
                  <w:rFonts w:ascii="Arial" w:cs="Arial" w:eastAsia="Arial" w:hAnsi="Arial"/>
                  <w:sz w:val="18"/>
                  <w:szCs w:val="18"/>
                  <w:color w:val="0000FF"/>
                  <w:w w:val="90"/>
                </w:rPr>
                <w:t>registrant’s Annual Report on Form 10-K for the fiscal year ended December 31, 2021.</w:t>
              </w:r>
            </w:hyperlink>
          </w:p>
        </w:tc>
        <w:tc>
          <w:tcPr>
            <w:tcW w:w="280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40" w:type="dxa"/>
            <w:vAlign w:val="bottom"/>
            <w:gridSpan w:val="5"/>
          </w:tcPr>
          <w:p>
            <w:pPr>
              <w:jc w:val="center"/>
              <w:ind w:right="360"/>
              <w:spacing w:after="0"/>
              <w:rPr>
                <w:sz w:val="20"/>
                <w:szCs w:val="20"/>
                <w:color w:val="auto"/>
              </w:rPr>
            </w:pPr>
            <w:r>
              <w:rPr>
                <w:rFonts w:ascii="Arial" w:cs="Arial" w:eastAsia="Arial" w:hAnsi="Arial"/>
                <w:sz w:val="18"/>
                <w:szCs w:val="18"/>
                <w:color w:val="auto"/>
                <w:w w:val="95"/>
              </w:rPr>
              <w:t>101.INS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14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101.SCH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140" w:type="dxa"/>
            <w:vAlign w:val="bottom"/>
            <w:gridSpan w:val="5"/>
          </w:tcPr>
          <w:p>
            <w:pPr>
              <w:jc w:val="center"/>
              <w:ind w:right="340"/>
              <w:spacing w:after="0"/>
              <w:rPr>
                <w:sz w:val="20"/>
                <w:szCs w:val="20"/>
                <w:color w:val="auto"/>
              </w:rPr>
            </w:pPr>
            <w:r>
              <w:rPr>
                <w:rFonts w:ascii="Arial" w:cs="Arial" w:eastAsia="Arial" w:hAnsi="Arial"/>
                <w:sz w:val="18"/>
                <w:szCs w:val="18"/>
                <w:color w:val="auto"/>
                <w:w w:val="97"/>
              </w:rPr>
              <w:t>101.CAL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4"/>
        </w:trPr>
        <w:tc>
          <w:tcPr>
            <w:tcW w:w="1140" w:type="dxa"/>
            <w:vAlign w:val="bottom"/>
            <w:gridSpan w:val="5"/>
          </w:tcPr>
          <w:p>
            <w:pPr>
              <w:jc w:val="center"/>
              <w:ind w:right="340"/>
              <w:spacing w:after="0"/>
              <w:rPr>
                <w:sz w:val="20"/>
                <w:szCs w:val="20"/>
                <w:color w:val="auto"/>
              </w:rPr>
            </w:pPr>
            <w:r>
              <w:rPr>
                <w:rFonts w:ascii="Arial" w:cs="Arial" w:eastAsia="Arial" w:hAnsi="Arial"/>
                <w:sz w:val="18"/>
                <w:szCs w:val="18"/>
                <w:color w:val="auto"/>
                <w:w w:val="96"/>
              </w:rPr>
              <w:t>101.DEF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140" w:type="dxa"/>
            <w:vAlign w:val="bottom"/>
            <w:gridSpan w:val="5"/>
          </w:tcPr>
          <w:p>
            <w:pPr>
              <w:jc w:val="center"/>
              <w:ind w:right="340"/>
              <w:spacing w:after="0"/>
              <w:rPr>
                <w:sz w:val="20"/>
                <w:szCs w:val="20"/>
                <w:color w:val="auto"/>
              </w:rPr>
            </w:pPr>
            <w:r>
              <w:rPr>
                <w:rFonts w:ascii="Arial" w:cs="Arial" w:eastAsia="Arial" w:hAnsi="Arial"/>
                <w:sz w:val="18"/>
                <w:szCs w:val="18"/>
                <w:color w:val="auto"/>
                <w:w w:val="98"/>
              </w:rPr>
              <w:t>101.LAB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14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101.PRE *</w:t>
            </w:r>
          </w:p>
        </w:tc>
        <w:tc>
          <w:tcPr>
            <w:tcW w:w="91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77" w:lineRule="exact"/>
        <w:rPr>
          <w:sz w:val="20"/>
          <w:szCs w:val="20"/>
          <w:color w:val="auto"/>
        </w:rPr>
      </w:pPr>
    </w:p>
    <w:p>
      <w:pPr>
        <w:ind w:left="1360" w:hanging="245"/>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1360" w:hanging="335"/>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ind w:left="1100"/>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exhibit is a management contract or compensatory plan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349250</wp:posOffset>
            </wp:positionV>
            <wp:extent cx="325755" cy="2057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FFFFF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-53340</wp:posOffset>
            </wp:positionV>
            <wp:extent cx="65919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480"/>
          </w:cols>
          <w:pgMar w:left="320" w:top="229" w:right="10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49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Jacobs</w:t>
            </w:r>
          </w:p>
        </w:tc>
      </w:tr>
      <w:tr>
        <w:trPr>
          <w:trHeight w:val="222"/>
        </w:trPr>
        <w:tc>
          <w:tcPr>
            <w:tcW w:w="7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Brad Jacobs</w:t>
            </w:r>
          </w:p>
        </w:tc>
      </w:t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49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Ravi Tulsyan</w:t>
            </w:r>
          </w:p>
        </w:tc>
      </w:tr>
      <w:tr>
        <w:trPr>
          <w:trHeight w:val="222"/>
        </w:trPr>
        <w:tc>
          <w:tcPr>
            <w:tcW w:w="7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Ravi Tulsyan</w:t>
            </w:r>
          </w:p>
        </w:tc>
      </w:tr>
      <w:tr>
        <w:trPr>
          <w:trHeight w:val="230"/>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67" w:lineRule="exact"/>
        <w:rPr>
          <w:sz w:val="20"/>
          <w:szCs w:val="20"/>
          <w:color w:val="auto"/>
        </w:rPr>
      </w:pPr>
    </w:p>
    <w:p>
      <w:pPr>
        <w:ind w:left="2060"/>
        <w:spacing w:after="0"/>
        <w:tabs>
          <w:tab w:leader="none" w:pos="6680" w:val="left"/>
          <w:tab w:leader="none" w:pos="9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80" w:type="dxa"/>
            <w:vAlign w:val="bottom"/>
            <w:gridSpan w:val="5"/>
          </w:tcPr>
          <w:p>
            <w:pPr>
              <w:jc w:val="center"/>
              <w:spacing w:after="0"/>
              <w:rPr>
                <w:sz w:val="20"/>
                <w:szCs w:val="20"/>
                <w:color w:val="auto"/>
              </w:rPr>
            </w:pPr>
            <w:r>
              <w:rPr>
                <w:rFonts w:ascii="Arial" w:cs="Arial" w:eastAsia="Arial" w:hAnsi="Arial"/>
                <w:sz w:val="18"/>
                <w:szCs w:val="18"/>
                <w:color w:val="auto"/>
                <w:w w:val="92"/>
              </w:rPr>
              <w:t>Chairman of the Board of Directors and Chief</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88"/>
              </w:rPr>
              <w:t>/s/ 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jc w:val="center"/>
              <w:ind w:right="1190"/>
              <w:spacing w:after="0" w:line="176" w:lineRule="exact"/>
              <w:rPr>
                <w:sz w:val="20"/>
                <w:szCs w:val="20"/>
                <w:color w:val="auto"/>
              </w:rPr>
            </w:pPr>
            <w:r>
              <w:rPr>
                <w:rFonts w:ascii="Arial" w:cs="Arial" w:eastAsia="Arial" w:hAnsi="Arial"/>
                <w:sz w:val="18"/>
                <w:szCs w:val="18"/>
                <w:color w:val="auto"/>
                <w:w w:val="94"/>
              </w:rPr>
              <w:t>Executive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4"/>
              </w:rPr>
              <w:t>(Principal Executive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92"/>
              </w:rPr>
              <w:t>/s/ Ravi Tulsyan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jc w:val="center"/>
              <w:ind w:right="1190"/>
              <w:spacing w:after="0" w:line="178" w:lineRule="exact"/>
              <w:rPr>
                <w:sz w:val="20"/>
                <w:szCs w:val="20"/>
                <w:color w:val="auto"/>
              </w:rPr>
            </w:pPr>
            <w:r>
              <w:rPr>
                <w:rFonts w:ascii="Arial" w:cs="Arial" w:eastAsia="Arial" w:hAnsi="Arial"/>
                <w:sz w:val="18"/>
                <w:szCs w:val="18"/>
                <w:color w:val="auto"/>
                <w:w w:val="94"/>
              </w:rPr>
              <w:t>Chief Financial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70"/>
              <w:spacing w:after="0"/>
              <w:rPr>
                <w:sz w:val="20"/>
                <w:szCs w:val="20"/>
                <w:color w:val="auto"/>
              </w:rPr>
            </w:pPr>
            <w:r>
              <w:rPr>
                <w:rFonts w:ascii="Arial" w:cs="Arial" w:eastAsia="Arial" w:hAnsi="Arial"/>
                <w:sz w:val="18"/>
                <w:szCs w:val="18"/>
                <w:color w:val="auto"/>
                <w:w w:val="94"/>
              </w:rPr>
              <w:t>(Principal Financial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4"/>
              </w:rPr>
              <w:t>Ravi Tulsyan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260" w:type="dxa"/>
            <w:vAlign w:val="bottom"/>
            <w:vMerge w:val="restart"/>
          </w:tcPr>
          <w:p>
            <w:pPr>
              <w:jc w:val="center"/>
              <w:ind w:right="359"/>
              <w:spacing w:after="0"/>
              <w:rPr>
                <w:sz w:val="20"/>
                <w:szCs w:val="20"/>
                <w:color w:val="auto"/>
              </w:rPr>
            </w:pPr>
            <w:r>
              <w:rPr>
                <w:rFonts w:ascii="Arial" w:cs="Arial" w:eastAsia="Arial" w:hAnsi="Arial"/>
                <w:sz w:val="18"/>
                <w:szCs w:val="18"/>
                <w:color w:val="auto"/>
                <w:w w:val="89"/>
              </w:rPr>
              <w:t>/s/ Lance Robinson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00" w:type="dxa"/>
            <w:vAlign w:val="bottom"/>
            <w:gridSpan w:val="2"/>
          </w:tcPr>
          <w:p>
            <w:pPr>
              <w:jc w:val="center"/>
              <w:ind w:right="1090"/>
              <w:spacing w:after="0" w:line="178" w:lineRule="exact"/>
              <w:rPr>
                <w:sz w:val="20"/>
                <w:szCs w:val="20"/>
                <w:color w:val="auto"/>
              </w:rPr>
            </w:pPr>
            <w:r>
              <w:rPr>
                <w:rFonts w:ascii="Arial" w:cs="Arial" w:eastAsia="Arial" w:hAnsi="Arial"/>
                <w:sz w:val="18"/>
                <w:szCs w:val="18"/>
                <w:color w:val="auto"/>
                <w:w w:val="94"/>
              </w:rPr>
              <w:t>Chief Accounting Officer</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5"/>
              </w:rPr>
              <w:t>(Principal Accounting Officer)</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89"/>
              </w:rPr>
              <w:t>Lance Robinson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2"/>
              </w:rPr>
              <w:t>/s/ AnnaMaria DeSalva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2"/>
              </w:rPr>
              <w:t>Vice Chairman of the Board of Directors</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AnnaMaria DeSalva</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7"/>
              </w:rPr>
              <w:t>/s/ Michael Jesselson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3"/>
          </w:tcPr>
          <w:p>
            <w:pPr>
              <w:jc w:val="center"/>
              <w:ind w:right="550"/>
              <w:spacing w:after="0"/>
              <w:rPr>
                <w:sz w:val="20"/>
                <w:szCs w:val="20"/>
                <w:color w:val="auto"/>
              </w:rPr>
            </w:pPr>
            <w:r>
              <w:rPr>
                <w:rFonts w:ascii="Arial" w:cs="Arial" w:eastAsia="Arial" w:hAnsi="Arial"/>
                <w:sz w:val="18"/>
                <w:szCs w:val="18"/>
                <w:color w:val="auto"/>
                <w:w w:val="91"/>
              </w:rPr>
              <w:t>Lead Independent 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89"/>
              </w:rPr>
              <w:t>Michael Jesselson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0"/>
              </w:rPr>
              <w:t>/s/ Jason Aiken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89"/>
              </w:rPr>
              <w:t>Jason Aiken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3"/>
              </w:rPr>
              <w:t>/s/ Adrian Kingshott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Adrian Kingshott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3"/>
              </w:rPr>
              <w:t>/s/ Mary Kissel</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5"/>
              </w:rPr>
              <w:t>Mary Kissel</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94"/>
              </w:rPr>
              <w:t>/s/ Allison Landry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6"/>
              </w:rPr>
              <w:t>Allison Landry</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Arial" w:cs="Arial" w:eastAsia="Arial" w:hAnsi="Arial"/>
                <w:sz w:val="18"/>
                <w:szCs w:val="18"/>
                <w:color w:val="auto"/>
                <w:w w:val="89"/>
              </w:rPr>
              <w:t>/s/ Johnny C. Taylor, Jr.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jc w:val="center"/>
              <w:ind w:right="11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w w:val="91"/>
              </w:rPr>
              <w:t>February 16, 2022</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Arial" w:cs="Arial" w:eastAsia="Arial" w:hAnsi="Arial"/>
                <w:sz w:val="14"/>
                <w:szCs w:val="14"/>
                <w:b w:val="1"/>
                <w:bCs w:val="1"/>
                <w:color w:val="auto"/>
                <w:w w:val="93"/>
              </w:rPr>
              <w:t>Johnny C. Taylor, Jr.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4"/>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50"/>
              <w:spacing w:after="0"/>
              <w:rPr>
                <w:sz w:val="20"/>
                <w:szCs w:val="20"/>
                <w:color w:val="auto"/>
              </w:rPr>
            </w:pPr>
            <w:r>
              <w:rPr>
                <w:rFonts w:ascii="Arial" w:cs="Arial" w:eastAsia="Arial" w:hAnsi="Arial"/>
                <w:sz w:val="18"/>
                <w:szCs w:val="18"/>
                <w:color w:val="FFFFFF"/>
              </w:rPr>
              <w:t>110</w:t>
            </w:r>
          </w:p>
        </w:tc>
        <w:tc>
          <w:tcPr>
            <w:tcW w:w="10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shd w:val="clear" w:color="auto" w:fill="CC0000"/>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shd w:val="clear" w:color="auto" w:fill="CC0000"/>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BONUS AGREEMENT</w:t>
      </w:r>
    </w:p>
    <w:p>
      <w:pPr>
        <w:spacing w:after="0" w:line="212"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This Bonus Agreement (“Agreement”), by and between XPO Logistics, Inc., a Delaware corporation (together with its successors and assigns, the “Company”) and the individual named on Exhibit A (“You”) is effective as of the date set forth on Exhibit A (the “Effective Date”).</w:t>
      </w:r>
    </w:p>
    <w:p>
      <w:pPr>
        <w:spacing w:after="0" w:line="186" w:lineRule="exact"/>
        <w:rPr>
          <w:sz w:val="20"/>
          <w:szCs w:val="20"/>
          <w:color w:val="auto"/>
        </w:rPr>
      </w:pPr>
    </w:p>
    <w:p>
      <w:pPr>
        <w:ind w:right="40" w:firstLine="405"/>
        <w:spacing w:after="0" w:line="218" w:lineRule="auto"/>
        <w:rPr>
          <w:sz w:val="20"/>
          <w:szCs w:val="20"/>
          <w:color w:val="auto"/>
        </w:rPr>
      </w:pPr>
      <w:r>
        <w:rPr>
          <w:rFonts w:ascii="Arial" w:cs="Arial" w:eastAsia="Arial" w:hAnsi="Arial"/>
          <w:sz w:val="22"/>
          <w:szCs w:val="22"/>
          <w:color w:val="auto"/>
        </w:rPr>
        <w:t>WHEREAS, the board of directors of the Company has previously adopted, and the Company’s stockholders have approved, the XPO Logistics, Inc. Amended 2016 Omnibus Incentive Compensation Plan (the “Plan”), pursuant to which the Company may grant Cash Incentive Awards (as defined in the Plan) to directors, officers, employees and consultants of the Company and its subsidiaries; and</w:t>
      </w:r>
    </w:p>
    <w:p>
      <w:pPr>
        <w:spacing w:after="0" w:line="188" w:lineRule="exact"/>
        <w:rPr>
          <w:sz w:val="20"/>
          <w:szCs w:val="20"/>
          <w:color w:val="auto"/>
        </w:rPr>
      </w:pPr>
    </w:p>
    <w:p>
      <w:pPr>
        <w:ind w:right="220" w:firstLine="405"/>
        <w:spacing w:after="0" w:line="232" w:lineRule="auto"/>
        <w:rPr>
          <w:sz w:val="20"/>
          <w:szCs w:val="20"/>
          <w:color w:val="auto"/>
        </w:rPr>
      </w:pPr>
      <w:r>
        <w:rPr>
          <w:rFonts w:ascii="Arial" w:cs="Arial" w:eastAsia="Arial" w:hAnsi="Arial"/>
          <w:sz w:val="22"/>
          <w:szCs w:val="22"/>
          <w:color w:val="auto"/>
        </w:rPr>
        <w:t>WHEREAS, the Company desires to provide an incentive for You to remain in the employ of the Company and You desire to be paid such incentive, subject to the terms and conditions set forth herein; and</w:t>
      </w:r>
    </w:p>
    <w:p>
      <w:pPr>
        <w:spacing w:after="0" w:line="186" w:lineRule="exact"/>
        <w:rPr>
          <w:sz w:val="20"/>
          <w:szCs w:val="20"/>
          <w:color w:val="auto"/>
        </w:rPr>
      </w:pPr>
    </w:p>
    <w:p>
      <w:pPr>
        <w:ind w:right="40" w:firstLine="405"/>
        <w:spacing w:after="0" w:line="232" w:lineRule="auto"/>
        <w:rPr>
          <w:sz w:val="20"/>
          <w:szCs w:val="20"/>
          <w:color w:val="auto"/>
        </w:rPr>
      </w:pPr>
      <w:r>
        <w:rPr>
          <w:rFonts w:ascii="Arial" w:cs="Arial" w:eastAsia="Arial" w:hAnsi="Arial"/>
          <w:sz w:val="22"/>
          <w:szCs w:val="22"/>
          <w:color w:val="auto"/>
        </w:rPr>
        <w:t>WHEREAS, the Company wishes to grant you the Bonus (as defined below), which shall constitute a Cash Incentive Award, pursuant to the Plan and this Agreement.</w:t>
      </w:r>
    </w:p>
    <w:p>
      <w:pPr>
        <w:spacing w:after="0" w:line="186" w:lineRule="exact"/>
        <w:rPr>
          <w:sz w:val="20"/>
          <w:szCs w:val="20"/>
          <w:color w:val="auto"/>
        </w:rPr>
      </w:pPr>
    </w:p>
    <w:p>
      <w:pPr>
        <w:ind w:right="760" w:firstLine="405"/>
        <w:spacing w:after="0" w:line="232" w:lineRule="auto"/>
        <w:rPr>
          <w:sz w:val="20"/>
          <w:szCs w:val="20"/>
          <w:color w:val="auto"/>
        </w:rPr>
      </w:pPr>
      <w:r>
        <w:rPr>
          <w:rFonts w:ascii="Arial" w:cs="Arial" w:eastAsia="Arial" w:hAnsi="Arial"/>
          <w:sz w:val="22"/>
          <w:szCs w:val="22"/>
          <w:color w:val="auto"/>
        </w:rPr>
        <w:t>NOW, THEREFORE, in consideration of the promises and mutual covenants herein and for other good and valuable consideration, You and the Company agree as follows:</w:t>
      </w:r>
    </w:p>
    <w:p>
      <w:pPr>
        <w:spacing w:after="0" w:line="186" w:lineRule="exact"/>
        <w:rPr>
          <w:sz w:val="20"/>
          <w:szCs w:val="20"/>
          <w:color w:val="auto"/>
        </w:rPr>
      </w:pPr>
    </w:p>
    <w:p>
      <w:pPr>
        <w:ind w:right="60" w:firstLine="413"/>
        <w:spacing w:after="0" w:line="226" w:lineRule="auto"/>
        <w:tabs>
          <w:tab w:leader="none" w:pos="621"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You will be paid a bonus as soon as administratively possible following the Effective Date in the amount set forth on Exhibit A (the “Bonus”), provided that, in the event that Your employment terminates for any reason (other than a termination of Your employment (a) by the Company without Cause (as defined on Exhibit A) that is not a result of Your permanent disability or (b) due to your death) within one year following the date on which the Bonus is paid, You will be obligated to repay to the Company immediately the after-tax amount of the Bonus.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order for you to receive this Bonus, you must read, agree to and return a signed copy of this agreement on or before [DATE].</w:t>
      </w:r>
    </w:p>
    <w:p>
      <w:pPr>
        <w:spacing w:after="0" w:line="241" w:lineRule="exact"/>
        <w:rPr>
          <w:sz w:val="20"/>
          <w:szCs w:val="20"/>
          <w:color w:val="auto"/>
        </w:rPr>
      </w:pPr>
    </w:p>
    <w:p>
      <w:pPr>
        <w:ind w:right="20" w:firstLine="413"/>
        <w:spacing w:after="0" w:line="220" w:lineRule="auto"/>
        <w:tabs>
          <w:tab w:leader="none" w:pos="621"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“At Will” Employment; No Inclusion of Bonus for Benefit Plan Purposes.</w:t>
      </w:r>
      <w:r>
        <w:rPr>
          <w:rFonts w:ascii="Arial" w:cs="Arial" w:eastAsia="Arial" w:hAnsi="Arial"/>
          <w:sz w:val="21"/>
          <w:szCs w:val="21"/>
          <w:color w:val="auto"/>
        </w:rPr>
        <w:t xml:space="preserve"> T</w:t>
      </w:r>
      <w:r>
        <w:rPr>
          <w:rFonts w:ascii="Arial" w:cs="Arial" w:eastAsia="Arial" w:hAnsi="Arial"/>
          <w:sz w:val="21"/>
          <w:szCs w:val="21"/>
          <w:color w:val="343434"/>
        </w:rPr>
        <w:t>he payment of the Bonus does not give You</w:t>
      </w:r>
      <w:r>
        <w:rPr>
          <w:rFonts w:ascii="Arial" w:cs="Arial" w:eastAsia="Arial" w:hAnsi="Arial"/>
          <w:sz w:val="21"/>
          <w:szCs w:val="21"/>
          <w:color w:val="auto"/>
        </w:rPr>
        <w:t xml:space="preserve"> </w:t>
      </w:r>
      <w:r>
        <w:rPr>
          <w:rFonts w:ascii="Arial" w:cs="Arial" w:eastAsia="Arial" w:hAnsi="Arial"/>
          <w:sz w:val="21"/>
          <w:szCs w:val="21"/>
          <w:color w:val="343434"/>
        </w:rPr>
        <w:t>the right to continued employment with the Company. Your employment is “at will” and therefore the Company may at any time dismiss You from employment, free from any liability or any claim under this Agreement. Your receipt of this Agreement and the Bonus does not provide You with the right to any other or future bonuses or other amounts. Notwithstanding any provision of this Agreement or any other plan, program, agreement or other arrangement to the contrary, except as may be required by the Company’s qualified defined contribution plan, the Bonus will not be taken into account for purposes of calculating severance amounts that may be due to You under any plan, program, agreement or other arrangement of any kind whatsoever or for any purpose of any compensation or benefit plan of any kind whatsoever and, in the event of Your termination of employment for any reason, the Company may reduce amounts owed to You by the amount that You are obligated to pay the Company under Section 1.</w:t>
      </w:r>
    </w:p>
    <w:p>
      <w:pPr>
        <w:spacing w:after="0" w:line="189" w:lineRule="exact"/>
        <w:rPr>
          <w:rFonts w:ascii="Arial" w:cs="Arial" w:eastAsia="Arial" w:hAnsi="Arial"/>
          <w:sz w:val="21"/>
          <w:szCs w:val="21"/>
          <w:color w:val="auto"/>
        </w:rPr>
      </w:pPr>
    </w:p>
    <w:p>
      <w:pPr>
        <w:ind w:right="140" w:firstLine="413"/>
        <w:spacing w:after="0" w:line="223" w:lineRule="auto"/>
        <w:tabs>
          <w:tab w:leader="none" w:pos="62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xml:space="preserve"> The Company may withhold from any amounts payable to You hereunder all taxes that the Company may reasonably determine are required to be withheld pursuant to any applicable law or regulation (it being understood that You are responsible for payment of all taxes in respect of the payments provided herein).</w:t>
      </w:r>
    </w:p>
    <w:p>
      <w:pPr>
        <w:sectPr>
          <w:pgSz w:w="11900" w:h="16838" w:orient="portrait"/>
          <w:cols w:equalWidth="0" w:num="1">
            <w:col w:w="11240"/>
          </w:cols>
          <w:pgMar w:left="320" w:top="1260" w:right="339" w:bottom="1440" w:gutter="0" w:footer="0" w:header="0"/>
        </w:sectPr>
      </w:pPr>
    </w:p>
    <w:bookmarkStart w:id="111" w:name="page112"/>
    <w:bookmarkEnd w:id="111"/>
    <w:p>
      <w:pPr>
        <w:ind w:left="-340" w:firstLine="413"/>
        <w:spacing w:after="0" w:line="218" w:lineRule="auto"/>
        <w:tabs>
          <w:tab w:leader="none" w:pos="28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under, this Agreement,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87" w:lineRule="exact"/>
        <w:rPr>
          <w:rFonts w:ascii="Arial" w:cs="Arial" w:eastAsia="Arial" w:hAnsi="Arial"/>
          <w:sz w:val="22"/>
          <w:szCs w:val="22"/>
          <w:color w:val="auto"/>
        </w:rPr>
      </w:pPr>
    </w:p>
    <w:p>
      <w:pPr>
        <w:ind w:left="-340" w:right="260" w:firstLine="413"/>
        <w:spacing w:after="0" w:line="223" w:lineRule="auto"/>
        <w:tabs>
          <w:tab w:leader="none" w:pos="28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Acceleration.</w:t>
      </w:r>
      <w:r>
        <w:rPr>
          <w:rFonts w:ascii="Arial" w:cs="Arial" w:eastAsia="Arial" w:hAnsi="Arial"/>
          <w:sz w:val="22"/>
          <w:szCs w:val="22"/>
          <w:color w:val="auto"/>
        </w:rPr>
        <w:t xml:space="preserve"> Notwithstanding the provisions of Section 1, the repayment obligation described in Section 1 will cease immediately upon a Change of Control (as defined in the Company’s 2016 Omnibus Incentive Compensation Plan) that occurs while You are employed by the Company.</w:t>
      </w:r>
    </w:p>
    <w:p>
      <w:pPr>
        <w:spacing w:after="0" w:line="185" w:lineRule="exact"/>
        <w:rPr>
          <w:rFonts w:ascii="Arial" w:cs="Arial" w:eastAsia="Arial" w:hAnsi="Arial"/>
          <w:sz w:val="22"/>
          <w:szCs w:val="22"/>
          <w:color w:val="auto"/>
        </w:rPr>
      </w:pPr>
    </w:p>
    <w:p>
      <w:pPr>
        <w:ind w:left="-340" w:right="60" w:firstLine="413"/>
        <w:spacing w:after="0" w:line="221" w:lineRule="auto"/>
        <w:tabs>
          <w:tab w:leader="none" w:pos="281"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This Agreement (a) together with the Plan, will constitute the entire agreement and understanding among the parties hereto with respect to the subject matter hereof and supersedes any and all prior understandings or agreements (whether written or oral) with respect to the subject matter hereof, including without limitation any prior understanding or agreement; (b) may be amended only by an instrument in writing signed by the parties; (c) is binding on and is for the benefit of the parties hereto and their respective successors, assigns, heirs, executors, administrators and other legal representatives; (d) is personal to You and may not be assigned by You; (e) will be governed by and construed in accordance with its express terms and the terms of the Plan, and otherwise in accordance with the laws of the State of Delaware without reference to its principles of conflicts of law; and (f) may be executed in several counterparts, each of which will be deemed an original, but all of which will constitute one and the same instrument.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6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3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Josephine Berisha</w:t>
      </w:r>
    </w:p>
    <w:p>
      <w:pPr>
        <w:ind w:left="3880"/>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EMPLOYEE</w:t>
      </w:r>
    </w:p>
    <w:p>
      <w:pPr>
        <w:ind w:left="38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313055</wp:posOffset>
            </wp:positionV>
            <wp:extent cx="22802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EMPLOYEE SIGNATURE</w:t>
      </w:r>
    </w:p>
    <w:p>
      <w:pPr>
        <w:sectPr>
          <w:pgSz w:w="11900" w:h="16838" w:orient="portrait"/>
          <w:cols w:equalWidth="0" w:num="1">
            <w:col w:w="10880"/>
          </w:cols>
          <w:pgMar w:left="660" w:top="1266" w:right="35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540"/>
        <w:spacing w:after="0"/>
        <w:tabs>
          <w:tab w:leader="none" w:pos="6900" w:val="left"/>
        </w:tabs>
        <w:rPr>
          <w:sz w:val="20"/>
          <w:szCs w:val="20"/>
          <w:color w:val="auto"/>
        </w:rPr>
      </w:pPr>
      <w:r>
        <w:rPr>
          <w:rFonts w:ascii="Arial" w:cs="Arial" w:eastAsia="Arial" w:hAnsi="Arial"/>
          <w:sz w:val="22"/>
          <w:szCs w:val="22"/>
          <w:color w:val="auto"/>
        </w:rPr>
        <w:t>Effective Date:</w:t>
      </w:r>
      <w:r>
        <w:rPr>
          <w:sz w:val="20"/>
          <w:szCs w:val="20"/>
          <w:color w:val="auto"/>
        </w:rPr>
        <w:tab/>
      </w:r>
      <w:r>
        <w:rPr>
          <w:rFonts w:ascii="Arial" w:cs="Arial" w:eastAsia="Arial" w:hAnsi="Arial"/>
          <w:sz w:val="19"/>
          <w:szCs w:val="19"/>
          <w:color w:val="auto"/>
        </w:rPr>
        <w:t>January 28, 2022</w:t>
      </w:r>
    </w:p>
    <w:p>
      <w:pPr>
        <w:spacing w:after="0" w:line="71" w:lineRule="exact"/>
        <w:rPr>
          <w:sz w:val="20"/>
          <w:szCs w:val="20"/>
          <w:color w:val="auto"/>
        </w:rPr>
      </w:pPr>
    </w:p>
    <w:p>
      <w:pPr>
        <w:ind w:left="2540"/>
        <w:spacing w:after="0"/>
        <w:tabs>
          <w:tab w:leader="none" w:pos="6900" w:val="left"/>
        </w:tabs>
        <w:rPr>
          <w:sz w:val="20"/>
          <w:szCs w:val="20"/>
          <w:color w:val="auto"/>
        </w:rPr>
      </w:pPr>
      <w:r>
        <w:rPr>
          <w:rFonts w:ascii="Arial" w:cs="Arial" w:eastAsia="Arial" w:hAnsi="Arial"/>
          <w:sz w:val="22"/>
          <w:szCs w:val="22"/>
          <w:color w:val="auto"/>
        </w:rPr>
        <w:t>Employee:</w:t>
      </w:r>
      <w:r>
        <w:rPr>
          <w:sz w:val="20"/>
          <w:szCs w:val="20"/>
          <w:color w:val="auto"/>
        </w:rPr>
        <w:tab/>
      </w:r>
      <w:r>
        <w:rPr>
          <w:rFonts w:ascii="Arial" w:cs="Arial" w:eastAsia="Arial" w:hAnsi="Arial"/>
          <w:sz w:val="22"/>
          <w:szCs w:val="22"/>
          <w:color w:val="auto"/>
        </w:rPr>
        <w:t>[Name]</w:t>
      </w:r>
    </w:p>
    <w:p>
      <w:pPr>
        <w:spacing w:after="0" w:line="71" w:lineRule="exact"/>
        <w:rPr>
          <w:sz w:val="20"/>
          <w:szCs w:val="20"/>
          <w:color w:val="auto"/>
        </w:rPr>
      </w:pPr>
    </w:p>
    <w:p>
      <w:pPr>
        <w:ind w:left="2540"/>
        <w:spacing w:after="0"/>
        <w:tabs>
          <w:tab w:leader="none" w:pos="6900" w:val="left"/>
        </w:tabs>
        <w:rPr>
          <w:sz w:val="20"/>
          <w:szCs w:val="20"/>
          <w:color w:val="auto"/>
        </w:rPr>
      </w:pPr>
      <w:r>
        <w:rPr>
          <w:rFonts w:ascii="Arial" w:cs="Arial" w:eastAsia="Arial" w:hAnsi="Arial"/>
          <w:sz w:val="22"/>
          <w:szCs w:val="22"/>
          <w:color w:val="auto"/>
        </w:rPr>
        <w:t>Bonus:</w:t>
      </w:r>
      <w:r>
        <w:rPr>
          <w:sz w:val="20"/>
          <w:szCs w:val="20"/>
          <w:color w:val="auto"/>
        </w:rPr>
        <w:tab/>
      </w:r>
      <w:r>
        <w:rPr>
          <w:rFonts w:ascii="Arial" w:cs="Arial" w:eastAsia="Arial" w:hAnsi="Arial"/>
          <w:sz w:val="22"/>
          <w:szCs w:val="22"/>
          <w:color w:val="auto"/>
        </w:rPr>
        <w:t>$100,000</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“Cause” means:</w:t>
      </w:r>
    </w:p>
    <w:p>
      <w:pPr>
        <w:spacing w:after="0" w:line="206" w:lineRule="exact"/>
        <w:rPr>
          <w:sz w:val="20"/>
          <w:szCs w:val="20"/>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dereliction of duties or gross negligence or failure to perform Your duties or refusal to follow any lawful directive of the officer to whom you report;</w:t>
      </w:r>
    </w:p>
    <w:p>
      <w:pPr>
        <w:spacing w:after="0" w:line="50"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abuse of or dependency on alcohol or drugs (illicit or otherwise) that adversely affects Your performance of duties for the Company;</w:t>
      </w:r>
    </w:p>
    <w:p>
      <w:pPr>
        <w:spacing w:after="0" w:line="50"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commission of any fraud, embezzlement, theft or dishonesty, or any deliberate misappropriation of money or other assets of the Company;</w:t>
      </w:r>
    </w:p>
    <w:p>
      <w:pPr>
        <w:spacing w:after="0" w:line="50"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breach of any fiduciary duties to the Company or any agreement with the Company;</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act, or failure to act, by you in bad faith to the detriment of the Company;</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failure to provide the Company with at least 30 days’ advance written notice of Your intention to resign;</w:t>
      </w:r>
    </w:p>
    <w:p>
      <w:pPr>
        <w:spacing w:after="0" w:line="71" w:lineRule="exact"/>
        <w:rPr>
          <w:rFonts w:ascii="Arial" w:cs="Arial" w:eastAsia="Arial" w:hAnsi="Arial"/>
          <w:sz w:val="22"/>
          <w:szCs w:val="22"/>
          <w:color w:val="auto"/>
        </w:rPr>
      </w:pPr>
    </w:p>
    <w:p>
      <w:pPr>
        <w:ind w:left="660" w:right="74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failure to cooperate in good faith with a governmental or internal investigation of the Company or any of its directors, managers, officers or employees, if the Company requests Your cooperation;</w:t>
      </w:r>
    </w:p>
    <w:p>
      <w:pPr>
        <w:spacing w:after="0" w:line="50"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failure to follow Company policies, including the Company’s code of conduct and/or ethics policy, as may be in effect from time to time; or</w:t>
      </w:r>
    </w:p>
    <w:p>
      <w:pPr>
        <w:spacing w:after="0" w:line="50"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Your conviction of, or plea of nolo contendere to, a felony or any serious crime; provided that in cases where cure is possible, you shall first be provided a 15-day cure period.</w:t>
      </w:r>
    </w:p>
    <w:p>
      <w:pPr>
        <w:sectPr>
          <w:pgSz w:w="11900" w:h="16838" w:orient="portrait"/>
          <w:cols w:equalWidth="0" w:num="1">
            <w:col w:w="11180"/>
          </w:cols>
          <w:pgMar w:left="320" w:top="1293" w:right="39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139700</wp:posOffset>
            </wp:positionV>
            <wp:extent cx="1602740" cy="300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1">
                      <a:extLst>
                        <a:ext uri="{28A0092B-C50C-407E-A947-70E740481C1C}"/>
                      </a:extLst>
                    </a:blip>
                    <a:srcRect/>
                    <a:stretch>
                      <a:fillRect/>
                    </a:stretch>
                  </pic:blipFill>
                  <pic:spPr bwMode="auto">
                    <a:xfrm>
                      <a:off x="0" y="0"/>
                      <a:ext cx="16027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February 15, 2022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c/o XPO Logistics, Inc.</w:t>
      </w:r>
    </w:p>
    <w:p>
      <w:pPr>
        <w:spacing w:after="0" w:line="205" w:lineRule="auto"/>
        <w:rPr>
          <w:sz w:val="20"/>
          <w:szCs w:val="20"/>
          <w:color w:val="auto"/>
        </w:rPr>
      </w:pPr>
      <w:r>
        <w:rPr>
          <w:rFonts w:ascii="Arial" w:cs="Arial" w:eastAsia="Arial" w:hAnsi="Arial"/>
          <w:sz w:val="22"/>
          <w:szCs w:val="22"/>
          <w:color w:val="auto"/>
        </w:rPr>
        <w:t>Five American Lane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Greenwich, Connecticut 06831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Reference is hereby made to the letter agreement dated August 3, 2021 (the “</w:t>
      </w:r>
      <w:r>
        <w:rPr>
          <w:rFonts w:ascii="Arial" w:cs="Arial" w:eastAsia="Arial" w:hAnsi="Arial"/>
          <w:sz w:val="19"/>
          <w:szCs w:val="19"/>
          <w:u w:val="single" w:color="auto"/>
          <w:color w:val="auto"/>
        </w:rPr>
        <w:t>August 2021 Letter Agreement</w:t>
      </w:r>
      <w:r>
        <w:rPr>
          <w:rFonts w:ascii="Arial" w:cs="Arial" w:eastAsia="Arial" w:hAnsi="Arial"/>
          <w:sz w:val="19"/>
          <w:szCs w:val="19"/>
          <w:color w:val="auto"/>
        </w:rPr>
        <w:t>”) which, in relevant</w:t>
      </w:r>
    </w:p>
    <w:p>
      <w:pPr>
        <w:spacing w:after="0" w:line="230" w:lineRule="auto"/>
        <w:rPr>
          <w:sz w:val="20"/>
          <w:szCs w:val="20"/>
          <w:color w:val="auto"/>
        </w:rPr>
      </w:pPr>
      <w:r>
        <w:rPr>
          <w:rFonts w:ascii="Arial" w:cs="Arial" w:eastAsia="Arial" w:hAnsi="Arial"/>
          <w:sz w:val="21"/>
          <w:szCs w:val="21"/>
          <w:color w:val="auto"/>
        </w:rPr>
        <w:t>part, amended the definition of “Change of Control” by adding a new clause (v) for purposes of the Performance-Based</w:t>
      </w:r>
    </w:p>
    <w:p>
      <w:pPr>
        <w:spacing w:after="0" w:line="214" w:lineRule="auto"/>
        <w:rPr>
          <w:sz w:val="20"/>
          <w:szCs w:val="20"/>
          <w:color w:val="auto"/>
        </w:rPr>
      </w:pPr>
      <w:r>
        <w:rPr>
          <w:rFonts w:ascii="Arial" w:cs="Arial" w:eastAsia="Arial" w:hAnsi="Arial"/>
          <w:sz w:val="21"/>
          <w:szCs w:val="21"/>
          <w:color w:val="auto"/>
        </w:rPr>
        <w:t>Restricted Stock Unit Award Agreement under the XPO Logistics, Inc. 2016 Omnibus Incentive Compensation Plan (the</w:t>
      </w:r>
    </w:p>
    <w:p>
      <w:pPr>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Omnibus Plan</w:t>
      </w:r>
      <w:r>
        <w:rPr>
          <w:rFonts w:ascii="Arial" w:cs="Arial" w:eastAsia="Arial" w:hAnsi="Arial"/>
          <w:sz w:val="19"/>
          <w:szCs w:val="19"/>
          <w:color w:val="auto"/>
        </w:rPr>
        <w:t>”), dated as of August 16, 2018 between you and XPO Logistics,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(the “</w:t>
      </w:r>
      <w:r>
        <w:rPr>
          <w:rFonts w:ascii="Arial" w:cs="Arial" w:eastAsia="Arial" w:hAnsi="Arial"/>
          <w:sz w:val="19"/>
          <w:szCs w:val="19"/>
          <w:u w:val="single" w:color="auto"/>
          <w:color w:val="auto"/>
        </w:rPr>
        <w:t>2018 PSU Award</w:t>
      </w:r>
    </w:p>
    <w:p>
      <w:pPr>
        <w:spacing w:after="0" w:line="237" w:lineRule="auto"/>
        <w:rPr>
          <w:sz w:val="20"/>
          <w:szCs w:val="20"/>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and the Performance-Based Restricted Stock Unit Award Agreement under the Omnibus Plan, dated as of June 5,</w:t>
      </w:r>
    </w:p>
    <w:p>
      <w:pPr>
        <w:spacing w:after="0" w:line="237" w:lineRule="auto"/>
        <w:rPr>
          <w:sz w:val="20"/>
          <w:szCs w:val="20"/>
          <w:color w:val="auto"/>
        </w:rPr>
      </w:pPr>
      <w:r>
        <w:rPr>
          <w:rFonts w:ascii="Arial" w:cs="Arial" w:eastAsia="Arial" w:hAnsi="Arial"/>
          <w:sz w:val="19"/>
          <w:szCs w:val="19"/>
          <w:color w:val="auto"/>
        </w:rPr>
        <w:t>2019 between you and the Company (the “</w:t>
      </w:r>
      <w:r>
        <w:rPr>
          <w:rFonts w:ascii="Arial" w:cs="Arial" w:eastAsia="Arial" w:hAnsi="Arial"/>
          <w:sz w:val="19"/>
          <w:szCs w:val="19"/>
          <w:u w:val="single" w:color="auto"/>
          <w:color w:val="auto"/>
        </w:rPr>
        <w:t>2019 PSU Award Agreement</w:t>
      </w:r>
      <w:r>
        <w:rPr>
          <w:rFonts w:ascii="Arial" w:cs="Arial" w:eastAsia="Arial" w:hAnsi="Arial"/>
          <w:sz w:val="19"/>
          <w:szCs w:val="19"/>
          <w:color w:val="auto"/>
        </w:rPr>
        <w:t>” and, together with the 2018 PSU Award Agreement,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PSU Award Agreements</w:t>
      </w:r>
      <w:r>
        <w:rPr>
          <w:rFonts w:ascii="Arial" w:cs="Arial" w:eastAsia="Arial" w:hAnsi="Arial"/>
          <w:sz w:val="22"/>
          <w:szCs w:val="22"/>
          <w:color w:val="auto"/>
        </w:rPr>
        <w:t>”).</w:t>
      </w:r>
    </w:p>
    <w:p>
      <w:pPr>
        <w:spacing w:after="0" w:line="161" w:lineRule="exact"/>
        <w:rPr>
          <w:sz w:val="20"/>
          <w:szCs w:val="20"/>
          <w:color w:val="auto"/>
        </w:rPr>
      </w:pPr>
    </w:p>
    <w:p>
      <w:pPr>
        <w:ind w:left="340" w:right="160" w:hanging="332"/>
        <w:spacing w:after="0" w:line="218" w:lineRule="auto"/>
        <w:tabs>
          <w:tab w:leader="none" w:pos="3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This letter agreement (this “</w:t>
      </w:r>
      <w:r>
        <w:rPr>
          <w:rFonts w:ascii="Arial" w:cs="Arial" w:eastAsia="Arial" w:hAnsi="Arial"/>
          <w:sz w:val="22"/>
          <w:szCs w:val="22"/>
          <w:u w:val="single" w:color="auto"/>
          <w:color w:val="auto"/>
        </w:rPr>
        <w:t>Letter Agreement</w:t>
      </w:r>
      <w:r>
        <w:rPr>
          <w:rFonts w:ascii="Arial" w:cs="Arial" w:eastAsia="Arial" w:hAnsi="Arial"/>
          <w:sz w:val="22"/>
          <w:szCs w:val="22"/>
          <w:color w:val="auto"/>
        </w:rPr>
        <w:t>”) amends clause (v) of the definition of Change of Control for purposes of the PSU Award Agreements to increase the applicable transaction thresholds from 50% to 75% and to clarify that “Eligible Transfer” only applies to a transaction or series of transactions with respect to an entire business or business line of the Company.</w:t>
      </w:r>
    </w:p>
    <w:p>
      <w:pPr>
        <w:spacing w:after="0" w:line="188" w:lineRule="exact"/>
        <w:rPr>
          <w:sz w:val="20"/>
          <w:szCs w:val="20"/>
          <w:color w:val="auto"/>
        </w:rPr>
      </w:pPr>
    </w:p>
    <w:p>
      <w:pPr>
        <w:ind w:left="980" w:right="360" w:hanging="324"/>
        <w:spacing w:after="0" w:line="247" w:lineRule="auto"/>
        <w:tabs>
          <w:tab w:leader="none" w:pos="968" w:val="left"/>
        </w:tabs>
        <w:numPr>
          <w:ilvl w:val="0"/>
          <w:numId w:val="30"/>
        </w:numPr>
        <w:rPr>
          <w:rFonts w:ascii="Arial" w:cs="Arial" w:eastAsia="Arial" w:hAnsi="Arial"/>
          <w:sz w:val="21"/>
          <w:szCs w:val="21"/>
          <w:color w:val="auto"/>
        </w:rPr>
      </w:pPr>
      <w:r>
        <w:rPr>
          <w:rFonts w:ascii="Arial" w:cs="Arial" w:eastAsia="Arial" w:hAnsi="Arial"/>
          <w:sz w:val="21"/>
          <w:szCs w:val="21"/>
          <w:color w:val="auto"/>
        </w:rPr>
        <w:t>In order to effectuate these amendments, clause (v) of the definition of Change of Control for purposes of the 2018 PSU Award Agreement is hereby amended and restated in its entirety as follows: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 the disposition of a substantial portion of the Company’s assets, businesses or</w:t>
      </w:r>
    </w:p>
    <w:p>
      <w:pPr>
        <w:ind w:left="660" w:right="20"/>
        <w:spacing w:after="0" w:line="217" w:lineRule="auto"/>
        <w:rPr>
          <w:sz w:val="20"/>
          <w:szCs w:val="20"/>
          <w:color w:val="auto"/>
        </w:rPr>
      </w:pPr>
      <w:r>
        <w:rPr>
          <w:rFonts w:ascii="Arial" w:cs="Arial" w:eastAsia="Arial" w:hAnsi="Arial"/>
          <w:sz w:val="22"/>
          <w:szCs w:val="22"/>
          <w:color w:val="auto"/>
        </w:rPr>
        <w:t>business lines, which shall be deemed to occur on the first date on which there have occurred, taking into account only transactions occurring subsequent to December 31, 2018 (the “</w:t>
      </w:r>
      <w:r>
        <w:rPr>
          <w:rFonts w:ascii="Arial" w:cs="Arial" w:eastAsia="Arial" w:hAnsi="Arial"/>
          <w:sz w:val="22"/>
          <w:szCs w:val="22"/>
          <w:u w:val="single" w:color="auto"/>
          <w:color w:val="auto"/>
        </w:rPr>
        <w:t>Measurement Date</w:t>
      </w:r>
      <w:r>
        <w:rPr>
          <w:rFonts w:ascii="Arial" w:cs="Arial" w:eastAsia="Arial" w:hAnsi="Arial"/>
          <w:sz w:val="22"/>
          <w:szCs w:val="22"/>
          <w:color w:val="auto"/>
        </w:rPr>
        <w:t>”), Eligible Transfers (as defined below) of:</w:t>
      </w:r>
    </w:p>
    <w:p>
      <w:pPr>
        <w:spacing w:after="0" w:line="187" w:lineRule="exact"/>
        <w:rPr>
          <w:sz w:val="20"/>
          <w:szCs w:val="20"/>
          <w:color w:val="auto"/>
        </w:rPr>
      </w:pPr>
    </w:p>
    <w:p>
      <w:pPr>
        <w:ind w:left="660" w:right="20" w:hanging="4"/>
        <w:spacing w:after="0" w:line="234" w:lineRule="auto"/>
        <w:tabs>
          <w:tab w:leader="none" w:pos="1014" w:val="left"/>
        </w:tabs>
        <w:numPr>
          <w:ilvl w:val="0"/>
          <w:numId w:val="31"/>
        </w:numPr>
        <w:rPr>
          <w:rFonts w:ascii="Arial" w:cs="Arial" w:eastAsia="Arial" w:hAnsi="Arial"/>
          <w:sz w:val="21"/>
          <w:szCs w:val="21"/>
          <w:color w:val="auto"/>
        </w:rPr>
      </w:pPr>
      <w:r>
        <w:rPr>
          <w:rFonts w:ascii="Arial" w:cs="Arial" w:eastAsia="Arial" w:hAnsi="Arial"/>
          <w:sz w:val="21"/>
          <w:szCs w:val="21"/>
          <w:color w:val="auto"/>
        </w:rPr>
        <w:t>assets (inclusive only of assets held as of the Measurement Date) having a total value equal to, or in excess of, 75% of the assets of the Company as of the Measurement Date (it being understood that assets shall mean total assets as defined by U.S. GAAP and shall be measured, in all instances, as of the Measurement Date), or</w:t>
      </w:r>
    </w:p>
    <w:p>
      <w:pPr>
        <w:sectPr>
          <w:pgSz w:w="11900" w:h="16838" w:orient="portrait"/>
          <w:cols w:equalWidth="0" w:num="1">
            <w:col w:w="11240"/>
          </w:cols>
          <w:pgMar w:left="320" w:top="1395" w:right="339" w:bottom="1440" w:gutter="0" w:footer="0" w:header="0"/>
        </w:sectPr>
      </w:pPr>
    </w:p>
    <w:bookmarkStart w:id="114" w:name="page115"/>
    <w:bookmarkEnd w:id="114"/>
    <w:p>
      <w:pPr>
        <w:ind w:left="652" w:right="140" w:hanging="4"/>
        <w:spacing w:after="0" w:line="218" w:lineRule="auto"/>
        <w:tabs>
          <w:tab w:leader="none" w:pos="994" w:val="left"/>
        </w:tabs>
        <w:numPr>
          <w:ilvl w:val="0"/>
          <w:numId w:val="32"/>
        </w:numPr>
        <w:rPr>
          <w:rFonts w:ascii="Arial" w:cs="Arial" w:eastAsia="Arial" w:hAnsi="Arial"/>
          <w:sz w:val="22"/>
          <w:szCs w:val="22"/>
          <w:color w:val="auto"/>
        </w:rPr>
      </w:pPr>
      <w:r>
        <w:rPr>
          <w:rFonts w:ascii="Arial" w:cs="Arial" w:eastAsia="Arial" w:hAnsi="Arial"/>
          <w:sz w:val="22"/>
          <w:szCs w:val="22"/>
          <w:color w:val="auto"/>
        </w:rPr>
        <w:t>one or more businesses or lines of business (inclusive only of businesses and lines of business conducted as of the Measurement Date) representing at least 75% of the Company’s revenue (as defined for purposes of U.S. GAAP) (with revenue measured, in all instances, as the revenue generated over the Company’s fiscal year ending on the Measurement Date).</w:t>
      </w:r>
    </w:p>
    <w:p>
      <w:pPr>
        <w:spacing w:after="0" w:line="188" w:lineRule="exact"/>
        <w:rPr>
          <w:sz w:val="20"/>
          <w:szCs w:val="20"/>
          <w:color w:val="auto"/>
        </w:rPr>
      </w:pPr>
    </w:p>
    <w:p>
      <w:pPr>
        <w:ind w:left="652"/>
        <w:spacing w:after="0" w:line="246" w:lineRule="auto"/>
        <w:rPr>
          <w:sz w:val="20"/>
          <w:szCs w:val="20"/>
          <w:color w:val="auto"/>
        </w:rPr>
      </w:pPr>
      <w:r>
        <w:rPr>
          <w:rFonts w:ascii="Arial" w:cs="Arial" w:eastAsia="Arial" w:hAnsi="Arial"/>
          <w:sz w:val="19"/>
          <w:szCs w:val="19"/>
          <w:color w:val="auto"/>
        </w:rPr>
        <w:t>For purposes of this clause (v), “Eligible Transfer” means any sale, distribution or other disposition of an entire business or business line, or of all the assets of an entire business or business line, in each case, in one or a series of transactions and, for such purposes, an entire business or business line means each of the Company’s Less-Than-Truckload, North American Transportation, European Transportation, North American Supply Chain and European Supply Chain operations; provided that any distribution to shareholders of the Company of 80% or more of the common stock of a subsidiary of the Company that holds, directly or indirectly, any such entire business or business line or all of the assets of any such entire business or business line shall constitute a distribution of the entirety of such business or business line or of all of the assets of any such entire business or business line for purposes of this definition.</w:t>
      </w:r>
    </w:p>
    <w:p>
      <w:pPr>
        <w:spacing w:after="0" w:line="179" w:lineRule="exact"/>
        <w:rPr>
          <w:sz w:val="20"/>
          <w:szCs w:val="20"/>
          <w:color w:val="auto"/>
        </w:rPr>
      </w:pPr>
    </w:p>
    <w:p>
      <w:pPr>
        <w:ind w:left="652" w:right="140"/>
        <w:spacing w:after="0" w:line="223" w:lineRule="auto"/>
        <w:rPr>
          <w:sz w:val="20"/>
          <w:szCs w:val="20"/>
          <w:color w:val="auto"/>
        </w:rPr>
      </w:pPr>
      <w:r>
        <w:rPr>
          <w:rFonts w:ascii="Arial" w:cs="Arial" w:eastAsia="Arial" w:hAnsi="Arial"/>
          <w:sz w:val="22"/>
          <w:szCs w:val="22"/>
          <w:color w:val="auto"/>
        </w:rPr>
        <w:t>If the same transaction or event results in a Change in Control under this clause (v) and under one or more of clauses (i), (ii), (iii) or (iv) of the definition of Change in Control, then such transaction or event shall be considered a Change in Control solely under such other clause or clauses and not under this clause (v).”</w:t>
      </w:r>
    </w:p>
    <w:p>
      <w:pPr>
        <w:spacing w:after="0" w:line="186" w:lineRule="exact"/>
        <w:rPr>
          <w:sz w:val="20"/>
          <w:szCs w:val="20"/>
          <w:color w:val="auto"/>
        </w:rPr>
      </w:pPr>
    </w:p>
    <w:p>
      <w:pPr>
        <w:ind w:left="972" w:right="180" w:hanging="324"/>
        <w:spacing w:after="0" w:line="268" w:lineRule="auto"/>
        <w:tabs>
          <w:tab w:leader="none" w:pos="972" w:val="left"/>
        </w:tabs>
        <w:numPr>
          <w:ilvl w:val="1"/>
          <w:numId w:val="33"/>
        </w:numPr>
        <w:rPr>
          <w:rFonts w:ascii="Arial" w:cs="Arial" w:eastAsia="Arial" w:hAnsi="Arial"/>
          <w:sz w:val="19"/>
          <w:szCs w:val="19"/>
          <w:color w:val="auto"/>
        </w:rPr>
      </w:pPr>
      <w:r>
        <w:rPr>
          <w:rFonts w:ascii="Arial" w:cs="Arial" w:eastAsia="Arial" w:hAnsi="Arial"/>
          <w:sz w:val="19"/>
          <w:szCs w:val="19"/>
          <w:color w:val="auto"/>
        </w:rPr>
        <w:t>In order to effectuate the intended amendments, clause (v) of the definition of Change in Control for purposes of the 2019 PSU Award Agreement is hereby amended and restated in its entirety as set forth in Paragraph 1(a) above, except that the term “Measurement Date” as used in such language shall refer to December 31, 2019.</w:t>
      </w:r>
    </w:p>
    <w:p>
      <w:pPr>
        <w:spacing w:after="0" w:line="375" w:lineRule="exact"/>
        <w:rPr>
          <w:rFonts w:ascii="Arial" w:cs="Arial" w:eastAsia="Arial" w:hAnsi="Arial"/>
          <w:sz w:val="19"/>
          <w:szCs w:val="19"/>
          <w:color w:val="auto"/>
        </w:rPr>
      </w:pPr>
    </w:p>
    <w:p>
      <w:pPr>
        <w:ind w:left="332" w:right="60" w:hanging="332"/>
        <w:spacing w:after="0" w:line="257" w:lineRule="auto"/>
        <w:tabs>
          <w:tab w:leader="none" w:pos="332"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Except as expressly modified by this Letter Agreement, the PSU Award Agreements and the August 2021 Letter Agreement remain in full force and effect in accordance with their terms. This Letter Agreement shall be deemed to be made in the State of Delaware, and the validity, construction and effect of this Letter Agreement in all respects shall be determined in accordance with the laws of the State of Delaware, without giving effect to the conflict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192"/>
          </w:cols>
          <w:pgMar w:left="328" w:top="1401" w:right="37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IN WITNESS WHEREOF, the undersigned parties have executed this letter agreement as of the date first written above.</w:t>
      </w:r>
    </w:p>
    <w:p>
      <w:pPr>
        <w:spacing w:after="0" w:line="21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XPO LOGISTICS, INC.</w:t>
      </w:r>
    </w:p>
    <w:p>
      <w:pPr>
        <w:spacing w:after="0" w:line="179" w:lineRule="exact"/>
        <w:rPr>
          <w:sz w:val="20"/>
          <w:szCs w:val="20"/>
          <w:color w:val="auto"/>
        </w:rPr>
      </w:pPr>
    </w:p>
    <w:p>
      <w:pPr>
        <w:ind w:left="1520"/>
        <w:spacing w:after="0"/>
        <w:tabs>
          <w:tab w:leader="none" w:pos="2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w:t>
      </w:r>
    </w:p>
    <w:p>
      <w:pPr>
        <w:spacing w:after="0" w:line="179" w:lineRule="exact"/>
        <w:rPr>
          <w:sz w:val="20"/>
          <w:szCs w:val="20"/>
          <w:color w:val="auto"/>
        </w:rPr>
      </w:pPr>
    </w:p>
    <w:p>
      <w:pPr>
        <w:ind w:left="152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w:t>
      </w:r>
    </w:p>
    <w:p>
      <w:pPr>
        <w:spacing w:after="0" w:line="179"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_________________________</w:t>
      </w:r>
    </w:p>
    <w:p>
      <w:pPr>
        <w:ind w:left="152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0420"/>
          </w:cols>
          <w:pgMar w:left="320" w:top="1401" w:right="115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10.27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27, 2021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Troy A. Cooper</w:t>
      </w:r>
    </w:p>
    <w:p>
      <w:pPr>
        <w:spacing w:after="0" w:line="204" w:lineRule="auto"/>
        <w:rPr>
          <w:sz w:val="20"/>
          <w:szCs w:val="20"/>
          <w:color w:val="auto"/>
        </w:rPr>
      </w:pPr>
      <w:r>
        <w:rPr>
          <w:rFonts w:ascii="Arial" w:cs="Arial" w:eastAsia="Arial" w:hAnsi="Arial"/>
          <w:sz w:val="22"/>
          <w:szCs w:val="22"/>
          <w:color w:val="auto"/>
        </w:rPr>
        <w:t>c/o XPO Logistics, Inc.</w:t>
      </w:r>
    </w:p>
    <w:p>
      <w:pPr>
        <w:spacing w:after="0" w:line="205" w:lineRule="auto"/>
        <w:rPr>
          <w:sz w:val="20"/>
          <w:szCs w:val="20"/>
          <w:color w:val="auto"/>
        </w:rPr>
      </w:pPr>
      <w:r>
        <w:rPr>
          <w:rFonts w:ascii="Arial" w:cs="Arial" w:eastAsia="Arial" w:hAnsi="Arial"/>
          <w:sz w:val="22"/>
          <w:szCs w:val="22"/>
          <w:color w:val="auto"/>
        </w:rPr>
        <w:t>Five American Lane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Greenwich, CT 06831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Dear Troy:</w:t>
      </w:r>
    </w:p>
    <w:p>
      <w:pPr>
        <w:spacing w:after="0" w:line="179"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This letter agreement (this “</w:t>
      </w:r>
      <w:r>
        <w:rPr>
          <w:rFonts w:ascii="Arial" w:cs="Arial" w:eastAsia="Arial" w:hAnsi="Arial"/>
          <w:sz w:val="19"/>
          <w:szCs w:val="19"/>
          <w:i w:val="1"/>
          <w:iCs w:val="1"/>
          <w:color w:val="auto"/>
        </w:rPr>
        <w:t>Agreement</w:t>
      </w:r>
      <w:r>
        <w:rPr>
          <w:rFonts w:ascii="Arial" w:cs="Arial" w:eastAsia="Arial" w:hAnsi="Arial"/>
          <w:sz w:val="19"/>
          <w:szCs w:val="19"/>
          <w:color w:val="auto"/>
        </w:rPr>
        <w:t>”) formalizes our discussions regarding the terms and conditions of your separation from service with XPO Logistics, Inc. (the “</w:t>
      </w:r>
      <w:r>
        <w:rPr>
          <w:rFonts w:ascii="Arial" w:cs="Arial" w:eastAsia="Arial" w:hAnsi="Arial"/>
          <w:sz w:val="19"/>
          <w:szCs w:val="19"/>
          <w:i w:val="1"/>
          <w:iCs w:val="1"/>
          <w:color w:val="auto"/>
        </w:rPr>
        <w:t>Company</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Reference is made to the Employment Agreement between you and the Company, dated as of July 31, 2020 (the “</w:t>
      </w:r>
      <w:r>
        <w:rPr>
          <w:rFonts w:ascii="Arial" w:cs="Arial" w:eastAsia="Arial" w:hAnsi="Arial"/>
          <w:sz w:val="19"/>
          <w:szCs w:val="19"/>
          <w:i w:val="1"/>
          <w:iCs w:val="1"/>
          <w:color w:val="auto"/>
        </w:rPr>
        <w:t>Employment Agreement</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which expires by its terms on July 31, 2024.</w:t>
      </w:r>
    </w:p>
    <w:p>
      <w:pPr>
        <w:spacing w:after="0" w:line="126"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Separation from Service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Your employment with the Company will terminate on December 27, 2021 (the “</w:t>
      </w:r>
      <w:r>
        <w:rPr>
          <w:rFonts w:ascii="Arial" w:cs="Arial" w:eastAsia="Arial" w:hAnsi="Arial"/>
          <w:sz w:val="19"/>
          <w:szCs w:val="19"/>
          <w:i w:val="1"/>
          <w:iCs w:val="1"/>
          <w:color w:val="auto"/>
        </w:rPr>
        <w:t>Separation Date</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It is agreed that, for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all purposes, including for purposes of determining your eligibility for severance and termination payments and/or accelerated</w:t>
      </w:r>
    </w:p>
    <w:p>
      <w:pPr>
        <w:spacing w:after="0" w:line="237" w:lineRule="auto"/>
        <w:rPr>
          <w:sz w:val="20"/>
          <w:szCs w:val="20"/>
          <w:color w:val="auto"/>
        </w:rPr>
      </w:pPr>
      <w:r>
        <w:rPr>
          <w:rFonts w:ascii="Arial" w:cs="Arial" w:eastAsia="Arial" w:hAnsi="Arial"/>
          <w:sz w:val="19"/>
          <w:szCs w:val="19"/>
          <w:color w:val="auto"/>
        </w:rPr>
        <w:t>vesting under the terms of the Employment Agreement, the July 31, 2020 Cash Long-Term Incentive Award Agreement (the “</w:t>
      </w:r>
      <w:r>
        <w:rPr>
          <w:rFonts w:ascii="Arial" w:cs="Arial" w:eastAsia="Arial" w:hAnsi="Arial"/>
          <w:sz w:val="19"/>
          <w:szCs w:val="19"/>
          <w:i w:val="1"/>
          <w:iCs w:val="1"/>
          <w:color w:val="auto"/>
        </w:rPr>
        <w:t>LTI</w:t>
      </w:r>
    </w:p>
    <w:p>
      <w:pPr>
        <w:spacing w:after="0" w:line="237" w:lineRule="auto"/>
        <w:rPr>
          <w:sz w:val="20"/>
          <w:szCs w:val="20"/>
          <w:color w:val="auto"/>
        </w:rPr>
      </w:pPr>
      <w:r>
        <w:rPr>
          <w:rFonts w:ascii="Arial" w:cs="Arial" w:eastAsia="Arial" w:hAnsi="Arial"/>
          <w:sz w:val="19"/>
          <w:szCs w:val="19"/>
          <w:i w:val="1"/>
          <w:iCs w:val="1"/>
          <w:color w:val="auto"/>
        </w:rPr>
        <w:t>Award Agreement</w:t>
      </w:r>
      <w:r>
        <w:rPr>
          <w:rFonts w:ascii="Arial" w:cs="Arial" w:eastAsia="Arial" w:hAnsi="Arial"/>
          <w:sz w:val="19"/>
          <w:szCs w:val="19"/>
          <w:color w:val="auto"/>
        </w:rPr>
        <w:t>”), as modified by the August 3, 2021 Letter Agreement (the “</w:t>
      </w:r>
      <w:r>
        <w:rPr>
          <w:rFonts w:ascii="Arial" w:cs="Arial" w:eastAsia="Arial" w:hAnsi="Arial"/>
          <w:sz w:val="19"/>
          <w:szCs w:val="19"/>
          <w:i w:val="1"/>
          <w:iCs w:val="1"/>
          <w:color w:val="auto"/>
        </w:rPr>
        <w:t>Letter Agreement</w:t>
      </w:r>
      <w:r>
        <w:rPr>
          <w:rFonts w:ascii="Arial" w:cs="Arial" w:eastAsia="Arial" w:hAnsi="Arial"/>
          <w:sz w:val="19"/>
          <w:szCs w:val="19"/>
          <w:color w:val="auto"/>
        </w:rPr>
        <w:t>”), the Performance-Based</w:t>
      </w:r>
    </w:p>
    <w:p>
      <w:pPr>
        <w:spacing w:after="0" w:line="215" w:lineRule="auto"/>
        <w:rPr>
          <w:sz w:val="20"/>
          <w:szCs w:val="20"/>
          <w:color w:val="auto"/>
        </w:rPr>
      </w:pPr>
      <w:r>
        <w:rPr>
          <w:rFonts w:ascii="Arial" w:cs="Arial" w:eastAsia="Arial" w:hAnsi="Arial"/>
          <w:sz w:val="21"/>
          <w:szCs w:val="21"/>
          <w:color w:val="auto"/>
        </w:rPr>
        <w:t>Restricted Stock Unit Award Agreement under the XPO Logistics, Inc. 2016 Omnibus Incentive Compensation Plan (the</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Omnibus Plan</w:t>
      </w:r>
      <w:r>
        <w:rPr>
          <w:rFonts w:ascii="Arial" w:cs="Arial" w:eastAsia="Arial" w:hAnsi="Arial"/>
          <w:sz w:val="19"/>
          <w:szCs w:val="19"/>
          <w:color w:val="auto"/>
        </w:rPr>
        <w:t>”), dated as of August 16, 2018 (the “</w:t>
      </w:r>
      <w:r>
        <w:rPr>
          <w:rFonts w:ascii="Arial" w:cs="Arial" w:eastAsia="Arial" w:hAnsi="Arial"/>
          <w:sz w:val="19"/>
          <w:szCs w:val="19"/>
          <w:i w:val="1"/>
          <w:iCs w:val="1"/>
          <w:color w:val="auto"/>
        </w:rPr>
        <w:t>2018 PSU Award Agreement</w:t>
      </w:r>
      <w:r>
        <w:rPr>
          <w:rFonts w:ascii="Arial" w:cs="Arial" w:eastAsia="Arial" w:hAnsi="Arial"/>
          <w:sz w:val="19"/>
          <w:szCs w:val="19"/>
          <w:color w:val="auto"/>
        </w:rPr>
        <w:t>”), as modified by the Letter Agreement, and</w:t>
      </w:r>
    </w:p>
    <w:p>
      <w:pPr>
        <w:spacing w:after="0" w:line="237" w:lineRule="auto"/>
        <w:rPr>
          <w:sz w:val="20"/>
          <w:szCs w:val="20"/>
          <w:color w:val="auto"/>
        </w:rPr>
      </w:pPr>
      <w:r>
        <w:rPr>
          <w:rFonts w:ascii="Arial" w:cs="Arial" w:eastAsia="Arial" w:hAnsi="Arial"/>
          <w:sz w:val="19"/>
          <w:szCs w:val="19"/>
          <w:color w:val="auto"/>
        </w:rPr>
        <w:t>the Performance-Based Restricted Stock Unit Award Agreement under the Omnibus Plan, dated as of June 5, 2019 (the “</w:t>
      </w:r>
      <w:r>
        <w:rPr>
          <w:rFonts w:ascii="Arial" w:cs="Arial" w:eastAsia="Arial" w:hAnsi="Arial"/>
          <w:sz w:val="19"/>
          <w:szCs w:val="19"/>
          <w:i w:val="1"/>
          <w:iCs w:val="1"/>
          <w:color w:val="auto"/>
        </w:rPr>
        <w:t>2019</w:t>
      </w:r>
    </w:p>
    <w:p>
      <w:pPr>
        <w:spacing w:after="0" w:line="237" w:lineRule="auto"/>
        <w:rPr>
          <w:sz w:val="20"/>
          <w:szCs w:val="20"/>
          <w:color w:val="auto"/>
        </w:rPr>
      </w:pPr>
      <w:r>
        <w:rPr>
          <w:rFonts w:ascii="Arial" w:cs="Arial" w:eastAsia="Arial" w:hAnsi="Arial"/>
          <w:sz w:val="19"/>
          <w:szCs w:val="19"/>
          <w:i w:val="1"/>
          <w:iCs w:val="1"/>
          <w:color w:val="auto"/>
        </w:rPr>
        <w:t>PSU Award Agreement</w:t>
      </w:r>
      <w:r>
        <w:rPr>
          <w:rFonts w:ascii="Arial" w:cs="Arial" w:eastAsia="Arial" w:hAnsi="Arial"/>
          <w:sz w:val="19"/>
          <w:szCs w:val="19"/>
          <w:color w:val="auto"/>
        </w:rPr>
        <w:t>”), as modified by the Letter Agreement, your termination of employment on the Separation Date will be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treated as a termination by the Company without cause.</w:t>
      </w:r>
    </w:p>
    <w:p>
      <w:pPr>
        <w:spacing w:after="0" w:line="15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spacing w:after="0" w:line="185" w:lineRule="exact"/>
        <w:rPr>
          <w:rFonts w:ascii="Arial" w:cs="Arial" w:eastAsia="Arial" w:hAnsi="Arial"/>
          <w:sz w:val="22"/>
          <w:szCs w:val="22"/>
          <w:color w:val="auto"/>
        </w:rPr>
      </w:pPr>
    </w:p>
    <w:p>
      <w:pPr>
        <w:ind w:right="80" w:firstLine="1304"/>
        <w:spacing w:after="0" w:line="214" w:lineRule="auto"/>
        <w:tabs>
          <w:tab w:leader="none" w:pos="1941" w:val="left"/>
        </w:tabs>
        <w:numPr>
          <w:ilvl w:val="1"/>
          <w:numId w:val="36"/>
        </w:numPr>
        <w:rPr>
          <w:rFonts w:ascii="Arial" w:cs="Arial" w:eastAsia="Arial" w:hAnsi="Arial"/>
          <w:sz w:val="22"/>
          <w:szCs w:val="22"/>
          <w:color w:val="auto"/>
        </w:rPr>
      </w:pPr>
      <w:r>
        <w:rPr>
          <w:rFonts w:ascii="Arial" w:cs="Arial" w:eastAsia="Arial" w:hAnsi="Arial"/>
          <w:sz w:val="22"/>
          <w:szCs w:val="22"/>
          <w:color w:val="auto"/>
        </w:rPr>
        <w:t>Pursuant to Section 11(g) of the Employment Agreement, the provisions of Section 7 (Non-Solicitation) and Section 8 (Confidentiality; Non-Compete; Non-Disclosure; Non-Disparagement; Cooperation) of the Employment Agreement, as amended herein, remain in full force and effect for the periods specified therein, notwithstanding the expiration of the Employment Agreement and your termination of employment. Without limitation of your other obligations to the Company, you hereby acknowledge your obligations under the covenants included in Section 7 and Section 8 of the Employment Agreement.</w:t>
      </w:r>
    </w:p>
    <w:p>
      <w:pPr>
        <w:spacing w:after="0" w:line="158" w:lineRule="exact"/>
        <w:rPr>
          <w:rFonts w:ascii="Arial" w:cs="Arial" w:eastAsia="Arial" w:hAnsi="Arial"/>
          <w:sz w:val="22"/>
          <w:szCs w:val="22"/>
          <w:color w:val="auto"/>
        </w:rPr>
      </w:pPr>
    </w:p>
    <w:p>
      <w:pPr>
        <w:ind w:right="40" w:firstLine="1304"/>
        <w:spacing w:after="0" w:line="221" w:lineRule="auto"/>
        <w:tabs>
          <w:tab w:leader="none" w:pos="1939"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Company hereby exercises its right pursuant to Section 8(c) of the Employment Agreement to extend the Non-Compete Period for an additional 12 months so that it ends on December 27, 2025, and the Company acknowledges that in exchange for such extension it shall pay the payments contemplated by Section 8(c) of the Employment Agreement in accordance with the terms thereof pursuant to its normal and customary payroll procedures as in effect from time to time. In addition, you hereby agree that the Restricted Period (as defined in Section 7(a) of the Employment Agreement) shall likewise be extended so that it ends on December 27, 2025 in exchange for an additional cash payment of $650,000 in the aggregate, to be paid during the period from December 28, 2023 through December 27, 2025 pursuant to the Company’s normal and customary payroll procedures as in effect from time to time.</w:t>
      </w:r>
    </w:p>
    <w:p>
      <w:pPr>
        <w:sectPr>
          <w:pgSz w:w="11900" w:h="16838" w:orient="portrait"/>
          <w:cols w:equalWidth="0" w:num="1">
            <w:col w:w="11240"/>
          </w:cols>
          <w:pgMar w:left="320" w:top="1395" w:right="339" w:bottom="1440" w:gutter="0" w:footer="0" w:header="0"/>
        </w:sectPr>
      </w:pPr>
    </w:p>
    <w:bookmarkStart w:id="117" w:name="page118"/>
    <w:bookmarkEnd w:id="117"/>
    <w:p>
      <w:pPr>
        <w:jc w:val="both"/>
        <w:ind w:right="40" w:firstLine="1304"/>
        <w:spacing w:after="0" w:line="298" w:lineRule="auto"/>
        <w:tabs>
          <w:tab w:leader="none" w:pos="1941" w:val="left"/>
        </w:tabs>
        <w:numPr>
          <w:ilvl w:val="1"/>
          <w:numId w:val="37"/>
        </w:numPr>
        <w:rPr>
          <w:rFonts w:ascii="Arial" w:cs="Arial" w:eastAsia="Arial" w:hAnsi="Arial"/>
          <w:sz w:val="19"/>
          <w:szCs w:val="19"/>
          <w:color w:val="auto"/>
        </w:rPr>
      </w:pPr>
      <w:r>
        <w:rPr>
          <w:rFonts w:ascii="Arial" w:cs="Arial" w:eastAsia="Arial" w:hAnsi="Arial"/>
          <w:sz w:val="19"/>
          <w:szCs w:val="19"/>
          <w:color w:val="auto"/>
        </w:rPr>
        <w:t>For the avoidance of doubt, the duration of the Non-Compete Period and the Restricted Period shall not be affected by the occurrence of a Change in Control (as defined in the Employment Agreement or otherwise) after the date hereof.</w:t>
      </w:r>
    </w:p>
    <w:p>
      <w:pPr>
        <w:spacing w:after="0" w:line="99" w:lineRule="exact"/>
        <w:rPr>
          <w:rFonts w:ascii="Arial" w:cs="Arial" w:eastAsia="Arial" w:hAnsi="Arial"/>
          <w:sz w:val="19"/>
          <w:szCs w:val="19"/>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Consideration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of this Agreement and your non-revocation of a general release of claims (as described under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General Release</w:t>
      </w:r>
      <w:r>
        <w:rPr>
          <w:rFonts w:ascii="Arial" w:cs="Arial" w:eastAsia="Arial" w:hAnsi="Arial"/>
          <w:sz w:val="19"/>
          <w:szCs w:val="19"/>
          <w:color w:val="auto"/>
        </w:rPr>
        <w:t>” below), the Company agrees to provide you with the severance and termination benefits to which you are</w:t>
      </w:r>
    </w:p>
    <w:p>
      <w:pPr>
        <w:spacing w:after="0"/>
        <w:rPr>
          <w:sz w:val="20"/>
          <w:szCs w:val="20"/>
          <w:color w:val="auto"/>
        </w:rPr>
      </w:pPr>
      <w:r>
        <w:rPr>
          <w:rFonts w:ascii="Arial" w:cs="Arial" w:eastAsia="Arial" w:hAnsi="Arial"/>
          <w:sz w:val="22"/>
          <w:szCs w:val="22"/>
          <w:color w:val="auto"/>
        </w:rPr>
        <w:t>entitled pursuant to Section 2(b) of this Agreement and pursuant to the Employment Agreement.</w:t>
      </w:r>
    </w:p>
    <w:p>
      <w:pPr>
        <w:spacing w:after="0" w:line="15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General Release</w:t>
      </w:r>
    </w:p>
    <w:p>
      <w:pPr>
        <w:spacing w:after="0" w:line="185"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Your eligibility to receive the payments and benefits described in this Agreement is conditioned on your execution of the general release of claims,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after the Separation Date and within the time period specified therein and on such release becoming effective and irrevocable in accordance with its terms.</w:t>
      </w:r>
    </w:p>
    <w:p>
      <w:pPr>
        <w:spacing w:after="0" w:line="153"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Consulting Services</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In exchange for aggregate consulting fees of up to $275,000 (the “</w:t>
      </w:r>
      <w:r>
        <w:rPr>
          <w:rFonts w:ascii="Arial" w:cs="Arial" w:eastAsia="Arial" w:hAnsi="Arial"/>
          <w:sz w:val="22"/>
          <w:szCs w:val="22"/>
          <w:i w:val="1"/>
          <w:iCs w:val="1"/>
          <w:color w:val="auto"/>
        </w:rPr>
        <w:t>Retainer</w:t>
      </w:r>
      <w:r>
        <w:rPr>
          <w:rFonts w:ascii="Arial" w:cs="Arial" w:eastAsia="Arial" w:hAnsi="Arial"/>
          <w:sz w:val="22"/>
          <w:szCs w:val="22"/>
          <w:color w:val="auto"/>
        </w:rPr>
        <w:t>”), during the six-month period beginning on January 1, 2022 and ending on June 30, 2022, (the “</w:t>
      </w:r>
      <w:r>
        <w:rPr>
          <w:rFonts w:ascii="Arial" w:cs="Arial" w:eastAsia="Arial" w:hAnsi="Arial"/>
          <w:sz w:val="22"/>
          <w:szCs w:val="22"/>
          <w:i w:val="1"/>
          <w:iCs w:val="1"/>
          <w:color w:val="auto"/>
        </w:rPr>
        <w:t>Consulting Period</w:t>
      </w:r>
      <w:r>
        <w:rPr>
          <w:rFonts w:ascii="Arial" w:cs="Arial" w:eastAsia="Arial" w:hAnsi="Arial"/>
          <w:sz w:val="22"/>
          <w:szCs w:val="22"/>
          <w:color w:val="auto"/>
        </w:rPr>
        <w:t>”), you agree to serve as a special consultant to the Chief Executive Officer of the Company (the “</w:t>
      </w:r>
      <w:r>
        <w:rPr>
          <w:rFonts w:ascii="Arial" w:cs="Arial" w:eastAsia="Arial" w:hAnsi="Arial"/>
          <w:sz w:val="22"/>
          <w:szCs w:val="22"/>
          <w:i w:val="1"/>
          <w:iCs w:val="1"/>
          <w:color w:val="auto"/>
        </w:rPr>
        <w:t>CEO</w:t>
      </w:r>
      <w:r>
        <w:rPr>
          <w:rFonts w:ascii="Arial" w:cs="Arial" w:eastAsia="Arial" w:hAnsi="Arial"/>
          <w:sz w:val="22"/>
          <w:szCs w:val="22"/>
          <w:color w:val="auto"/>
        </w:rPr>
        <w:t>”) furnishing advice, consultation and related services upon the request of the CEO. One-sixth of the Retainer shall be paid for any month during the Consulting Period in which you in fact perform services to the Company, with such payment to be made within the 30 days immediately following the end of such month. For the avoidance of doubt, you will forfeit one-sixth of the Retainer for each month during the Consulting Period in which you perform no services to the Company.</w:t>
      </w:r>
    </w:p>
    <w:p>
      <w:pPr>
        <w:spacing w:after="0" w:line="164"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During the Consulting Period, you shall be an independent contractor and shall not be an employee of the Company. You shall have no authority to obligate the Company to any agreement or to exercise any supervision or direction over the Company’s employees. As a consultant, you will not be entitled to participate in any of the Company’s employee benefit plans, programs or arrangements.</w:t>
      </w:r>
    </w:p>
    <w:p>
      <w:pPr>
        <w:spacing w:after="0" w:line="15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Additional Terms and Conditions</w:t>
      </w:r>
    </w:p>
    <w:p>
      <w:pPr>
        <w:spacing w:after="0" w:line="185" w:lineRule="exact"/>
        <w:rPr>
          <w:sz w:val="20"/>
          <w:szCs w:val="20"/>
          <w:color w:val="auto"/>
        </w:rPr>
      </w:pPr>
    </w:p>
    <w:p>
      <w:pPr>
        <w:ind w:right="740" w:firstLine="648"/>
        <w:spacing w:after="0" w:line="234" w:lineRule="auto"/>
        <w:rPr>
          <w:sz w:val="20"/>
          <w:szCs w:val="20"/>
          <w:color w:val="auto"/>
        </w:rPr>
      </w:pPr>
      <w:r>
        <w:rPr>
          <w:rFonts w:ascii="Arial" w:cs="Arial" w:eastAsia="Arial" w:hAnsi="Arial"/>
          <w:sz w:val="21"/>
          <w:szCs w:val="21"/>
          <w:color w:val="auto"/>
        </w:rPr>
        <w:t>This Agreement, together with Sections 6, 7, 8, 9 and 10 of the Employment Agreement, the 2018 PSU Award Agreement, the 2019 PSU Award Agreement, the LTI Award Agreement, and the Letter Agreement constitutes the entire understanding between you and the Company with respect to the subject matter hereof.</w:t>
      </w:r>
    </w:p>
    <w:p>
      <w:pPr>
        <w:spacing w:after="0" w:line="158" w:lineRule="exact"/>
        <w:rPr>
          <w:sz w:val="20"/>
          <w:szCs w:val="20"/>
          <w:color w:val="auto"/>
        </w:rPr>
      </w:pPr>
    </w:p>
    <w:p>
      <w:pPr>
        <w:ind w:right="80" w:firstLine="648"/>
        <w:spacing w:after="0" w:line="224" w:lineRule="auto"/>
        <w:rPr>
          <w:sz w:val="20"/>
          <w:szCs w:val="20"/>
          <w:color w:val="auto"/>
        </w:rPr>
      </w:pPr>
      <w:r>
        <w:rPr>
          <w:rFonts w:ascii="Arial" w:cs="Arial" w:eastAsia="Arial" w:hAnsi="Arial"/>
          <w:sz w:val="21"/>
          <w:szCs w:val="21"/>
          <w:color w:val="auto"/>
        </w:rPr>
        <w:t>You agree that to the extent you receive any shares of common stock of the Company upon settlement of the awards granted to you under the 2018 PSU Award Agreement and 2019 PSU Award Agreement, you will hold such shares in your Morgan Stanley securities brokerage account until the earlier of (a) two years after the applicable settlement date and (b) your sale of such shares. You further agree that you will cooperate to grant permission to Morgan Stanley so that it may provide information to the Company concerning your brokerage account consistent with the information provided to the Company under the Company’s securities trade monitoring policy for active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1" w:right="379" w:bottom="1440" w:gutter="0" w:footer="0" w:header="0"/>
        </w:sectPr>
      </w:pPr>
    </w:p>
    <w:bookmarkStart w:id="118" w:name="page119"/>
    <w:bookmarkEnd w:id="118"/>
    <w:p>
      <w:pPr>
        <w:ind w:right="180" w:firstLine="648"/>
        <w:spacing w:after="0" w:line="218" w:lineRule="auto"/>
        <w:rPr>
          <w:sz w:val="20"/>
          <w:szCs w:val="20"/>
          <w:color w:val="auto"/>
        </w:rPr>
      </w:pPr>
      <w:r>
        <w:rPr>
          <w:rFonts w:ascii="Arial" w:cs="Arial" w:eastAsia="Arial" w:hAnsi="Arial"/>
          <w:sz w:val="22"/>
          <w:szCs w:val="22"/>
          <w:color w:val="auto"/>
        </w:rPr>
        <w:t>The Company agrees to reimburse you for reasonable and documented legal fees incurred in connection with the review and execution of this Agreement, up to a maximum amount of $20,000, provided that you deliver documentation of such legal fees within 60 days after the date of this Agreement, in which case such reimbursement shall be provided to you within 90 days after the date of this Agreement.</w:t>
      </w:r>
    </w:p>
    <w:p>
      <w:pPr>
        <w:spacing w:after="0" w:line="161"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The terms of this Agreement may be changed, modified, or discharged only by an instrument in writing signed by the parties hereto. The governing law and dispute resolution provisions of the Employment Agreement shall apply to this Agreement. If any section of this Agreement is determined to be void, voidable, or unenforceable, it shall have no effect on the remainder of this Agreement, which shall remain in full force and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119" w:name="page120"/>
    <w:bookmarkEnd w:id="119"/>
    <w:p>
      <w:pPr>
        <w:ind w:firstLine="648"/>
        <w:spacing w:after="0" w:line="298" w:lineRule="auto"/>
        <w:rPr>
          <w:sz w:val="20"/>
          <w:szCs w:val="20"/>
          <w:color w:val="auto"/>
        </w:rPr>
      </w:pPr>
      <w:r>
        <w:rPr>
          <w:rFonts w:ascii="Arial" w:cs="Arial" w:eastAsia="Arial" w:hAnsi="Arial"/>
          <w:sz w:val="19"/>
          <w:szCs w:val="19"/>
          <w:color w:val="auto"/>
        </w:rPr>
        <w:t>Please indicate your agreement with the terms set forth herein by your signature below and return a signed copy to Josephine Berisha via e-mail at [redacted] or via mail at Five American Lane Greenwich, CT 06831 USA.</w:t>
      </w:r>
    </w:p>
    <w:p>
      <w:pPr>
        <w:spacing w:after="0" w:line="200" w:lineRule="exact"/>
        <w:rPr>
          <w:sz w:val="20"/>
          <w:szCs w:val="20"/>
          <w:color w:val="auto"/>
        </w:rPr>
      </w:pP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 yours,</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Josephine Berisha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2954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2">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Josephine Berisha</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Troy A.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1684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3">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Troy A. Cooper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12/28/21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248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4">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w:t>
      </w:r>
      <w:r>
        <w:rPr>
          <w:rFonts w:ascii="Arial" w:cs="Arial" w:eastAsia="Arial" w:hAnsi="Arial"/>
          <w:sz w:val="22"/>
          <w:szCs w:val="22"/>
          <w:color w:val="auto"/>
        </w:rPr>
        <w:t>]</w:t>
      </w:r>
    </w:p>
    <w:p>
      <w:pPr>
        <w:sectPr>
          <w:pgSz w:w="11900" w:h="16838" w:orient="portrait"/>
          <w:cols w:equalWidth="0" w:num="1">
            <w:col w:w="10540"/>
          </w:cols>
          <w:pgMar w:left="320" w:top="1401" w:right="1039" w:bottom="1440" w:gutter="0" w:footer="0" w:header="0"/>
        </w:sectPr>
      </w:pPr>
    </w:p>
    <w:bookmarkStart w:id="120" w:name="page121"/>
    <w:bookmarkEnd w:id="120"/>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GENERAL RELEASE AGREEMENT</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In consideration of the promises of XPO Logistics, Inc. (the “</w:t>
      </w:r>
      <w:r>
        <w:rPr>
          <w:rFonts w:ascii="Arial" w:cs="Arial" w:eastAsia="Arial" w:hAnsi="Arial"/>
          <w:sz w:val="19"/>
          <w:szCs w:val="19"/>
          <w:i w:val="1"/>
          <w:iCs w:val="1"/>
          <w:color w:val="auto"/>
        </w:rPr>
        <w:t>Company</w:t>
      </w:r>
      <w:r>
        <w:rPr>
          <w:rFonts w:ascii="Arial" w:cs="Arial" w:eastAsia="Arial" w:hAnsi="Arial"/>
          <w:sz w:val="19"/>
          <w:szCs w:val="19"/>
          <w:color w:val="auto"/>
        </w:rPr>
        <w:t>”) set forth in the letter agreement between me and the Company dated December 27, 2021 (the “</w:t>
      </w:r>
      <w:r>
        <w:rPr>
          <w:rFonts w:ascii="Arial" w:cs="Arial" w:eastAsia="Arial" w:hAnsi="Arial"/>
          <w:sz w:val="19"/>
          <w:szCs w:val="19"/>
          <w:i w:val="1"/>
          <w:iCs w:val="1"/>
          <w:color w:val="auto"/>
        </w:rPr>
        <w:t>Separation Agreement</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for other good and valuable consideration, I, on behalf of myself, my heirs, personal representatives and assigns, hereby irrevocably and unconditionally forever release the Company, its subsidiaries, affiliates, predecessors, benefit plans, plan administrators, predecessors, and each of their past, present and future directors, executive committee members, officers, members, agents, attorneys, representatives and employees, in their individual and representative capacities (collectively, the “</w:t>
      </w:r>
      <w:r>
        <w:rPr>
          <w:rFonts w:ascii="Arial" w:cs="Arial" w:eastAsia="Arial" w:hAnsi="Arial"/>
          <w:sz w:val="19"/>
          <w:szCs w:val="19"/>
          <w:i w:val="1"/>
          <w:iCs w:val="1"/>
          <w:color w:val="auto"/>
        </w:rPr>
        <w:t>Releasees</w:t>
      </w:r>
      <w:r>
        <w:rPr>
          <w:rFonts w:ascii="Arial" w:cs="Arial" w:eastAsia="Arial" w:hAnsi="Arial"/>
          <w:sz w:val="19"/>
          <w:szCs w:val="19"/>
          <w:color w:val="auto"/>
        </w:rPr>
        <w:t>”) from any and all claims, demands, causes of action, damages, liabilities or obligations of any kind or nature whatsoever (collectively “</w:t>
      </w:r>
      <w:r>
        <w:rPr>
          <w:rFonts w:ascii="Arial" w:cs="Arial" w:eastAsia="Arial" w:hAnsi="Arial"/>
          <w:sz w:val="19"/>
          <w:szCs w:val="19"/>
          <w:i w:val="1"/>
          <w:iCs w:val="1"/>
          <w:color w:val="auto"/>
        </w:rPr>
        <w:t>Claims</w:t>
      </w:r>
      <w:r>
        <w:rPr>
          <w:rFonts w:ascii="Arial" w:cs="Arial" w:eastAsia="Arial" w:hAnsi="Arial"/>
          <w:sz w:val="19"/>
          <w:szCs w:val="19"/>
          <w:color w:val="auto"/>
        </w:rPr>
        <w:t>”) arising, directly or indirectly, out of my employment with the Company and its affiliates, including the termination of such employment or services, or out of any other event, act or communication occurring prior to the date that I execute this Release, including all matters and things now known and all matters and things which may hereafter be discovered. I acknowledge that this General Release of Claims (this “</w:t>
      </w:r>
      <w:r>
        <w:rPr>
          <w:rFonts w:ascii="Arial" w:cs="Arial" w:eastAsia="Arial" w:hAnsi="Arial"/>
          <w:sz w:val="19"/>
          <w:szCs w:val="19"/>
          <w:i w:val="1"/>
          <w:iCs w:val="1"/>
          <w:color w:val="auto"/>
        </w:rPr>
        <w:t>Release</w:t>
      </w:r>
      <w:r>
        <w:rPr>
          <w:rFonts w:ascii="Arial" w:cs="Arial" w:eastAsia="Arial" w:hAnsi="Arial"/>
          <w:sz w:val="19"/>
          <w:szCs w:val="19"/>
          <w:color w:val="auto"/>
        </w:rPr>
        <w:t>”) includes but is not limited to Claims (i) for wrongful dismissal or termination of services; (ii) arising under federal, state or local laws, statutes, orders or regulations that relate to the employment relationship and/or prohibiting employment discrimination, including Claims under Title VII of the Civil Rights Act of 1964, the Civil Rights Act of 1991, the Civil Rights Act of 1866, the Age Discrimination in Employment Act, the Older Workers Benefit Protection Act, the Americans with Disabilities Act of 1990, the Rehabilitation Act, Employee Retirement Income Security Act, the Fair Labor Standards Act, the Family and Medical Leave Act of 1993, Executive Order 11246, and in each case any amendments thereto; (iii) under any other Federal, state or local statute or regulation; or (iv) based on contract, tort or common law, or for damages, including, without limitation, punitive or compensatory damages, or for attorneys’ fees, expenses, costs, wages, injunctive or equitable relief. To the maximum extent permitted by law, I represent and warrant that I have not filed, commenced or participated in any way in any complaints, claims, actions or proceedings of any kind against the Releasees with any federal, state or local court or any administrative, regulatory or arbitration agency or body, and agree not to file, commence or participate in any charge, claim or lawsuit asserting any Claims that are released in this Release. I further represent and warrant that I have had the opportunity to provide the Company with written notice of any and all concerns regarding suspected ethical and compliance issues or violations on the part of the Releasees and have done so if applicable, and I am aware of no facts that would give rise to or state a claim that I have been subjected to sexual harassment or discrimination by any Releasee during my employment by the Company.</w:t>
      </w:r>
    </w:p>
    <w:p>
      <w:pPr>
        <w:spacing w:after="0" w:line="372" w:lineRule="exact"/>
        <w:rPr>
          <w:sz w:val="20"/>
          <w:szCs w:val="20"/>
          <w:color w:val="auto"/>
        </w:rPr>
      </w:pPr>
    </w:p>
    <w:p>
      <w:pPr>
        <w:ind w:right="180" w:firstLine="648"/>
        <w:spacing w:after="0" w:line="234" w:lineRule="auto"/>
        <w:rPr>
          <w:sz w:val="20"/>
          <w:szCs w:val="20"/>
          <w:color w:val="auto"/>
        </w:rPr>
      </w:pPr>
      <w:r>
        <w:rPr>
          <w:rFonts w:ascii="Arial" w:cs="Arial" w:eastAsia="Arial" w:hAnsi="Arial"/>
          <w:sz w:val="21"/>
          <w:szCs w:val="21"/>
          <w:color w:val="auto"/>
        </w:rPr>
        <w:t>I agree that nothing contained in this Release shall constitute or be treated as an admission of liability of wrongdoing by any of the Releasees. I shall not, directly or indirectly, make any written or oral statements, suggestions or representations that any of the Releasees have made or implied any such admission or concession.</w:t>
      </w:r>
    </w:p>
    <w:p>
      <w:pPr>
        <w:spacing w:after="0" w:line="158"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I understand that the provisions of this Release are not intended to, and shall be interpreted in a manner that does not, limit or restrict me from exercising my legally protected whistleblower rights (including pursuant to Regulation 21F under the Securities Exchange Act of 1934, as amended) or from filing a charge of discrimination with the Equal Employment Opportunity Commission (the “</w:t>
      </w:r>
      <w:r>
        <w:rPr>
          <w:rFonts w:ascii="Arial" w:cs="Arial" w:eastAsia="Arial" w:hAnsi="Arial"/>
          <w:sz w:val="21"/>
          <w:szCs w:val="21"/>
          <w:i w:val="1"/>
          <w:iCs w:val="1"/>
          <w:color w:val="auto"/>
        </w:rPr>
        <w:t>EEOC</w:t>
      </w:r>
      <w:r>
        <w:rPr>
          <w:rFonts w:ascii="Arial" w:cs="Arial" w:eastAsia="Arial" w:hAnsi="Arial"/>
          <w:sz w:val="21"/>
          <w:szCs w:val="21"/>
          <w:color w:val="auto"/>
        </w:rPr>
        <w:t xml:space="preserve">”), or its equivalent state or local agencies, or otherwise participating in an administrative investigation;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 waive any right to, and will not collect, any monetary recovery in connection with any action before the</w:t>
      </w:r>
      <w:r>
        <w:rPr>
          <w:rFonts w:ascii="Arial" w:cs="Arial" w:eastAsia="Arial" w:hAnsi="Arial"/>
          <w:sz w:val="21"/>
          <w:szCs w:val="21"/>
          <w:i w:val="1"/>
          <w:iCs w:val="1"/>
          <w:color w:val="auto"/>
        </w:rPr>
        <w:t xml:space="preserve"> </w:t>
      </w:r>
      <w:r>
        <w:rPr>
          <w:rFonts w:ascii="Arial" w:cs="Arial" w:eastAsia="Arial" w:hAnsi="Arial"/>
          <w:sz w:val="21"/>
          <w:szCs w:val="21"/>
          <w:color w:val="auto"/>
        </w:rPr>
        <w:t>EEOC or any equivalent state or local agency relating to XPO or my employment at XPO. Nothing in this Release shall be construed to waive any right that is not subject to waiver by private agreement under federal, state or local employment or other laws, such as claims for workers’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177" w:lineRule="exact"/>
        <w:rPr>
          <w:sz w:val="20"/>
          <w:szCs w:val="20"/>
          <w:color w:val="auto"/>
        </w:rPr>
      </w:pPr>
    </w:p>
    <w:p>
      <w:pPr>
        <w:spacing w:after="0" w:line="219" w:lineRule="auto"/>
        <w:rPr>
          <w:sz w:val="20"/>
          <w:szCs w:val="20"/>
          <w:color w:val="auto"/>
        </w:rPr>
      </w:pPr>
      <w:r>
        <w:rPr>
          <w:rFonts w:ascii="Arial" w:cs="Arial" w:eastAsia="Arial" w:hAnsi="Arial"/>
          <w:sz w:val="21"/>
          <w:szCs w:val="21"/>
          <w:color w:val="auto"/>
        </w:rPr>
        <w:t>or unemployment benefits. In addition, nothing in this Release will be construed to affect any of the following claims, all rights in respect of which I reserve: (a) reimbursement of unreimbursed business expenses properly incurred prior to my termination date in accordance with the Company’s policy; (b) claims under the Separation Agreement; (c) claims under the 2018 PSU Award Agreement, the 2019 PSU Award Agreement, and the LTI Award Agreement (each, as defined in the Separation Agreement) and, in each case, only with respect to the portion of the award governed by such agreement that vests upon termination of my employment by the Company without cause; (d) property and economic rights as an equityholder in the Company (including any rights I have arising under operative documents applicable to me in such capacity); (e) any vested benefits to which I am entitled under any employee benefit plans or programs of the Company in which I participate; (f) any claim for unemployment compensation or workers’ compensation administered by a state government to which I am presently or may become entitled; and (g) my rights to indemnification as an officer or director of the Company pursuant to the Company’s corporate organizational documents or applicable law, or my inclusion as a beneficiary of any director and officer insurance policy related to my service in such capacity during such period.</w:t>
      </w:r>
    </w:p>
    <w:p>
      <w:pPr>
        <w:spacing w:after="0" w:line="164"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auto"/>
        </w:rPr>
        <w:t>I acknowledge and agree that I remain subject to the restrictive covenants set forth in the Employment Agreement (as defined in the Separation Agreement), as extended in the Separation Agreement.</w:t>
      </w:r>
    </w:p>
    <w:p>
      <w:pPr>
        <w:spacing w:after="0" w:line="159" w:lineRule="exact"/>
        <w:rPr>
          <w:sz w:val="20"/>
          <w:szCs w:val="20"/>
          <w:color w:val="auto"/>
        </w:rPr>
      </w:pPr>
    </w:p>
    <w:p>
      <w:pPr>
        <w:jc w:val="both"/>
        <w:ind w:right="60" w:firstLine="648"/>
        <w:spacing w:after="0" w:line="223" w:lineRule="auto"/>
        <w:rPr>
          <w:sz w:val="20"/>
          <w:szCs w:val="20"/>
          <w:color w:val="auto"/>
        </w:rPr>
      </w:pPr>
      <w:r>
        <w:rPr>
          <w:rFonts w:ascii="Arial" w:cs="Arial" w:eastAsia="Arial" w:hAnsi="Arial"/>
          <w:sz w:val="22"/>
          <w:szCs w:val="22"/>
          <w:color w:val="auto"/>
        </w:rPr>
        <w:t>I acknowledge that I have received and been given sufficient time to consider the terms of this Release and up to 21 days to consider my waiver of claims under the Age Discrimination in Employment Act and the Older Workers Benefit Protection Act after all revisions became final and that I understand its terms.</w:t>
      </w:r>
    </w:p>
    <w:p>
      <w:pPr>
        <w:spacing w:after="0" w:line="159" w:lineRule="exact"/>
        <w:rPr>
          <w:sz w:val="20"/>
          <w:szCs w:val="20"/>
          <w:color w:val="auto"/>
        </w:rPr>
      </w:pPr>
    </w:p>
    <w:p>
      <w:pPr>
        <w:ind w:right="160" w:firstLine="648"/>
        <w:spacing w:after="0" w:line="214" w:lineRule="auto"/>
        <w:rPr>
          <w:sz w:val="20"/>
          <w:szCs w:val="20"/>
          <w:color w:val="auto"/>
        </w:rPr>
      </w:pPr>
      <w:r>
        <w:rPr>
          <w:rFonts w:ascii="Arial" w:cs="Arial" w:eastAsia="Arial" w:hAnsi="Arial"/>
          <w:sz w:val="22"/>
          <w:szCs w:val="22"/>
          <w:color w:val="auto"/>
        </w:rPr>
        <w:t>I acknowledge that I have been advised of the opportunity to seek the advice of legal counsel in this matter and to obtain my counsel’s assistance in reviewing this Agreement. I acknowledge that I (i) have entered into this Release on a knowing and voluntary basis and have been given adequate time to review this Release and to consider whether to sign it, (ii) agree that the terms of this Release are binding upon me, (iii) understand that by signing this Release, I release legal claims against the Releasees and waive certain rights to bring claims, and (iv) freely and voluntarily consent to all terms of this Release with full understanding of what they mean.</w:t>
      </w:r>
    </w:p>
    <w:p>
      <w:pPr>
        <w:spacing w:after="0" w:line="159" w:lineRule="exact"/>
        <w:rPr>
          <w:sz w:val="20"/>
          <w:szCs w:val="20"/>
          <w:color w:val="auto"/>
        </w:rPr>
      </w:pPr>
    </w:p>
    <w:p>
      <w:pPr>
        <w:ind w:right="60" w:firstLine="648"/>
        <w:spacing w:after="0" w:line="221" w:lineRule="auto"/>
        <w:rPr>
          <w:sz w:val="20"/>
          <w:szCs w:val="20"/>
          <w:color w:val="auto"/>
        </w:rPr>
      </w:pPr>
      <w:r>
        <w:rPr>
          <w:rFonts w:ascii="Arial" w:cs="Arial" w:eastAsia="Arial" w:hAnsi="Arial"/>
          <w:sz w:val="21"/>
          <w:szCs w:val="21"/>
          <w:color w:val="auto"/>
        </w:rPr>
        <w:t>I understand that, for a period of seven days after I sign and deliver this Release to the Company, I have the right to revoke my release of claims under the Age Discrimination in Employment Act and the Older Workers Benefit Protection Act (together the “Age Claims”) by delivering written notice of revocation to the Company. The Release as it relates to the Age Claims shall not become effective or enforceable until after the seven-day revocation period has expired. I understand and agree that if I do not revoke this Release as to the Age Claims during the seven-day revocation period, this Release shall become effective, irrevocable and enforceable as to the Age Claims on the eighth day after the date on which I signed and delivered this Release. I acknowledge that if my release of the Age Claims is deemed to be ineffective, such determination shall have no effect on the release of the remainder of the claims released by this Release, and my release of all other claims shall remain in full force and effect.</w:t>
      </w:r>
    </w:p>
    <w:p>
      <w:pPr>
        <w:spacing w:after="0" w:line="15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9"/>
          <w:szCs w:val="19"/>
          <w:color w:val="auto"/>
        </w:rPr>
        <w:t>I understand and agree that my right to receive the severance benefits payable to me under the Employment Agreement is subject to and conditioned upon the truth of the covenants, representations and acknowledgments made in this Release and upon me signing and not revoking this Release. I agree that the covenants, representations and acknowledgments made in this Release shall survive the Company’s satisfaction of its obligations under the Employment Agreement and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 am indicating my agreement with the terms set forth herein by signing below and returning a signed copy to Josephine Berisha via e-mail at [redacted] or via mail at Five American Lane Greenwich, CT 06831 USA.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Troy A.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1684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5">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Troy A. Cooper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12/28/21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248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6">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020"/>
          </w:cols>
          <w:pgMar w:left="320" w:top="1440" w:right="5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7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XPO Logistics, Inc. maintains approximately 145 subsidiaries. Set forth below are the names of certain wholly owned or at least 90% owned subsidiaries of XPO Logistics, Inc., as of December 31, 2021, that provide freight transportation services. The names of certain consolidated wholly or at least 90% owned subsidiaries that carry on the same line of business have been omitted.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Arial" w:cs="Arial" w:eastAsia="Arial" w:hAnsi="Arial"/>
                <w:sz w:val="18"/>
                <w:szCs w:val="18"/>
                <w:color w:val="auto"/>
                <w:w w:val="87"/>
              </w:rPr>
              <w:t>Name</w:t>
            </w:r>
          </w:p>
        </w:tc>
        <w:tc>
          <w:tcPr>
            <w:tcW w:w="8700" w:type="dxa"/>
            <w:vAlign w:val="bottom"/>
            <w:vMerge w:val="restart"/>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1"/>
              </w:rPr>
              <w:t>Country or State of</w:t>
            </w:r>
          </w:p>
        </w:tc>
        <w:tc>
          <w:tcPr>
            <w:tcW w:w="0" w:type="dxa"/>
            <w:vAlign w:val="bottom"/>
          </w:tcPr>
          <w:p>
            <w:pPr>
              <w:spacing w:after="0"/>
              <w:rPr>
                <w:sz w:val="1"/>
                <w:szCs w:val="1"/>
                <w:color w:val="auto"/>
              </w:rPr>
            </w:pPr>
          </w:p>
        </w:tc>
      </w:tr>
      <w:tr>
        <w:trPr>
          <w:trHeight w:val="155"/>
        </w:trPr>
        <w:tc>
          <w:tcPr>
            <w:tcW w:w="44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13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140" w:type="dxa"/>
            <w:vAlign w:val="bottom"/>
            <w:gridSpan w:val="2"/>
          </w:tcPr>
          <w:p>
            <w:pPr>
              <w:spacing w:after="0"/>
              <w:rPr>
                <w:sz w:val="20"/>
                <w:szCs w:val="20"/>
                <w:color w:val="auto"/>
              </w:rPr>
            </w:pPr>
            <w:r>
              <w:rPr>
                <w:rFonts w:ascii="Arial" w:cs="Arial" w:eastAsia="Arial" w:hAnsi="Arial"/>
                <w:sz w:val="18"/>
                <w:szCs w:val="18"/>
                <w:color w:val="auto"/>
              </w:rPr>
              <w:t>XPO Logistics,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CNW,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Freight,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Managed Transportation, LLC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Intermodal,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Global Forwarding,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Last Mile Holding,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Last Mile, Inc.</w:t>
            </w:r>
          </w:p>
        </w:tc>
        <w:tc>
          <w:tcPr>
            <w:tcW w:w="140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Logistics, LLC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Logistics Express, LLC</w:t>
            </w:r>
          </w:p>
        </w:tc>
        <w:tc>
          <w:tcPr>
            <w:tcW w:w="140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Arial" w:cs="Arial" w:eastAsia="Arial" w:hAnsi="Arial"/>
                <w:sz w:val="18"/>
                <w:szCs w:val="18"/>
                <w:color w:val="auto"/>
              </w:rPr>
              <w:t>XPO Holdings UK I Limited</w:t>
            </w:r>
          </w:p>
        </w:tc>
        <w:tc>
          <w:tcPr>
            <w:tcW w:w="140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XPO Holdings UK III Limited</w:t>
            </w:r>
          </w:p>
        </w:tc>
        <w:tc>
          <w:tcPr>
            <w:tcW w:w="140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XPO Global Forwarding International</w:t>
            </w:r>
          </w:p>
        </w:tc>
        <w:tc>
          <w:tcPr>
            <w:tcW w:w="140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XPO Holding Transport Solutions Europe</w:t>
            </w:r>
          </w:p>
        </w:tc>
        <w:tc>
          <w:tcPr>
            <w:tcW w:w="140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(No. 333-255016, 333-202748 and 333-112899) on Form S-3 and (No.</w:t>
      </w:r>
    </w:p>
    <w:p>
      <w:pPr>
        <w:spacing w:after="0" w:line="35"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240288, 333-232964, 333-222985, 333-216334, 333-207708 and 333-183648) on Form S-8 of our report dated February 16, 2022, with respect to the consolidated financial statements of XPO Logistics, Inc. and the effectiveness of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ectPr>
          <w:pgSz w:w="11900" w:h="16838" w:orient="portrait"/>
          <w:cols w:equalWidth="0" w:num="1">
            <w:col w:w="11240"/>
          </w:cols>
          <w:pgMar w:left="320" w:top="105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Brad Jacobs, certify that:</w:t>
      </w:r>
    </w:p>
    <w:p>
      <w:pPr>
        <w:spacing w:after="0" w:line="117" w:lineRule="exact"/>
        <w:rPr>
          <w:sz w:val="20"/>
          <w:szCs w:val="20"/>
          <w:color w:val="auto"/>
        </w:rPr>
      </w:pPr>
    </w:p>
    <w:p>
      <w:pPr>
        <w:ind w:left="1080" w:hanging="181"/>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XPO Logistics, Inc.;</w:t>
      </w:r>
    </w:p>
    <w:p>
      <w:pPr>
        <w:spacing w:after="0" w:line="117" w:lineRule="exact"/>
        <w:rPr>
          <w:rFonts w:ascii="Arial" w:cs="Arial" w:eastAsia="Arial" w:hAnsi="Arial"/>
          <w:sz w:val="18"/>
          <w:szCs w:val="18"/>
          <w:color w:val="auto"/>
        </w:rPr>
      </w:pPr>
    </w:p>
    <w:p>
      <w:pPr>
        <w:ind w:right="80" w:firstLine="899"/>
        <w:spacing w:after="0" w:line="263" w:lineRule="auto"/>
        <w:tabs>
          <w:tab w:leader="none" w:pos="10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540" w:firstLine="899"/>
        <w:spacing w:after="0" w:line="342"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360" w:firstLine="899"/>
        <w:spacing w:after="0" w:line="291"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firstLine="1466"/>
        <w:spacing w:after="0" w:line="263" w:lineRule="auto"/>
        <w:tabs>
          <w:tab w:leader="none" w:pos="170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40" w:firstLine="1466"/>
        <w:spacing w:after="0" w:line="263" w:lineRule="auto"/>
        <w:tabs>
          <w:tab w:leader="none" w:pos="17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466"/>
        <w:spacing w:after="0" w:line="342" w:lineRule="auto"/>
        <w:tabs>
          <w:tab w:leader="none" w:pos="170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80" w:firstLine="1466"/>
        <w:spacing w:after="0" w:line="263" w:lineRule="auto"/>
        <w:tabs>
          <w:tab w:leader="none" w:pos="17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600" w:firstLine="899"/>
        <w:spacing w:after="0" w:line="342"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0" w:firstLine="1466"/>
        <w:spacing w:after="0" w:line="308" w:lineRule="auto"/>
        <w:tabs>
          <w:tab w:leader="none" w:pos="17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1466"/>
        <w:spacing w:after="0" w:line="277" w:lineRule="auto"/>
        <w:tabs>
          <w:tab w:leader="none" w:pos="17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7">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2022</w:t>
      </w:r>
    </w:p>
    <w:p>
      <w:pPr>
        <w:sectPr>
          <w:pgSz w:w="11900" w:h="16838" w:orient="portrait"/>
          <w:cols w:equalWidth="0" w:num="1">
            <w:col w:w="11240"/>
          </w:cols>
          <w:pgMar w:left="320" w:top="1053"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Ravi Tulsyan, certify that:</w:t>
      </w:r>
    </w:p>
    <w:p>
      <w:pPr>
        <w:spacing w:after="0" w:line="117" w:lineRule="exact"/>
        <w:rPr>
          <w:sz w:val="20"/>
          <w:szCs w:val="20"/>
          <w:color w:val="auto"/>
        </w:rPr>
      </w:pPr>
    </w:p>
    <w:p>
      <w:pPr>
        <w:ind w:left="1080" w:hanging="181"/>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XPO Logistics, Inc.;</w:t>
      </w:r>
    </w:p>
    <w:p>
      <w:pPr>
        <w:spacing w:after="0" w:line="117" w:lineRule="exact"/>
        <w:rPr>
          <w:rFonts w:ascii="Arial" w:cs="Arial" w:eastAsia="Arial" w:hAnsi="Arial"/>
          <w:sz w:val="18"/>
          <w:szCs w:val="18"/>
          <w:color w:val="auto"/>
        </w:rPr>
      </w:pPr>
    </w:p>
    <w:p>
      <w:pPr>
        <w:ind w:right="80" w:firstLine="899"/>
        <w:spacing w:after="0" w:line="263" w:lineRule="auto"/>
        <w:tabs>
          <w:tab w:leader="none" w:pos="10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540" w:firstLine="899"/>
        <w:spacing w:after="0" w:line="342"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right="360" w:firstLine="899"/>
        <w:spacing w:after="0" w:line="291"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firstLine="1466"/>
        <w:spacing w:after="0" w:line="263" w:lineRule="auto"/>
        <w:tabs>
          <w:tab w:leader="none" w:pos="17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40" w:firstLine="1466"/>
        <w:spacing w:after="0" w:line="263" w:lineRule="auto"/>
        <w:tabs>
          <w:tab w:leader="none" w:pos="17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466"/>
        <w:spacing w:after="0" w:line="342" w:lineRule="auto"/>
        <w:tabs>
          <w:tab w:leader="none" w:pos="1703"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80" w:firstLine="1466"/>
        <w:spacing w:after="0" w:line="263" w:lineRule="auto"/>
        <w:tabs>
          <w:tab w:leader="none" w:pos="17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600" w:firstLine="899"/>
        <w:spacing w:after="0" w:line="342"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right="40" w:firstLine="1466"/>
        <w:spacing w:after="0" w:line="308" w:lineRule="auto"/>
        <w:tabs>
          <w:tab w:leader="none" w:pos="1703"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20" w:firstLine="1466"/>
        <w:spacing w:after="0" w:line="277" w:lineRule="auto"/>
        <w:tabs>
          <w:tab w:leader="none" w:pos="171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Ravi Tulsyan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8">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Ravi Tulsyan</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2022</w:t>
      </w:r>
    </w:p>
    <w:p>
      <w:pPr>
        <w:sectPr>
          <w:pgSz w:w="11900" w:h="16838" w:orient="portrait"/>
          <w:cols w:equalWidth="0" w:num="1">
            <w:col w:w="11240"/>
          </w:cols>
          <w:pgMar w:left="320" w:top="105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Annual Report on Form 10-K of the Company for the year ended December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9">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2022</w:t>
      </w:r>
    </w:p>
    <w:p>
      <w:pPr>
        <w:sectPr>
          <w:pgSz w:w="11900" w:h="16838" w:orient="portrait"/>
          <w:cols w:equalWidth="0" w:num="1">
            <w:col w:w="11240"/>
          </w:cols>
          <w:pgMar w:left="320" w:top="1053"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Pursuant to 18 U.S.C. Section 1350</w:t>
      </w:r>
    </w:p>
    <w:p>
      <w:pPr>
        <w:spacing w:after="0" w:line="1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Annual Report on Form 10-K of the Company for the year ended December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Ravi Tulsyan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14605</wp:posOffset>
            </wp:positionV>
            <wp:extent cx="23234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0">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Ravi Tulsyan</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2022</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3"/>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lvl w:ilvl="1">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1."/>
      <w:numFmt w:val="decimal"/>
      <w:start w:val="4"/>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upperLetter"/>
      <w:start w:val="1"/>
    </w:lvl>
  </w:abstractNum>
  <w:abstractNum w:abstractNumId="31">
    <w:nsid w:val="7724C67E"/>
    <w:multiLevelType w:val="hybridMultilevel"/>
    <w:lvl w:ilvl="0">
      <w:lvlJc w:val="left"/>
      <w:lvlText w:val="(%1)"/>
      <w:numFmt w:val="upperLetter"/>
      <w:start w:val="2"/>
    </w:lvl>
  </w:abstractNum>
  <w:abstractNum w:abstractNumId="32">
    <w:nsid w:val="5C482A97"/>
    <w:multiLevelType w:val="hybridMultilevel"/>
    <w:lvl w:ilvl="0">
      <w:lvlJc w:val="left"/>
      <w:lvlText w:val="%1"/>
      <w:numFmt w:val="decimal"/>
      <w:start w:val="1"/>
    </w:lvl>
    <w:lvl w:ilvl="1">
      <w:lvlJc w:val="left"/>
      <w:lvlText w:val="%2."/>
      <w:numFmt w:val="lowerLetter"/>
      <w:start w:val="2"/>
    </w:lvl>
  </w:abstractNum>
  <w:abstractNum w:abstractNumId="33">
    <w:nsid w:val="2463B9EA"/>
    <w:multiLevelType w:val="hybridMultilevel"/>
    <w:lvl w:ilvl="0">
      <w:lvlJc w:val="left"/>
      <w:lvlText w:val="%1."/>
      <w:numFmt w:val="decimal"/>
      <w:start w:val="2"/>
    </w:lvl>
    <w:lvl w:ilvl="1">
      <w:lvlJc w:val="left"/>
      <w:lvlText w:val="%2"/>
      <w:numFmt w:val="lowerLetter"/>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3"/>
    </w:lvl>
  </w:abstractNum>
  <w:abstractNum w:abstractNumId="37">
    <w:nsid w:val="580BD78F"/>
    <w:multiLevelType w:val="hybridMultilevel"/>
    <w:lvl w:ilvl="0">
      <w:lvlJc w:val="left"/>
      <w:lvlText w:val="%1."/>
      <w:numFmt w:val="decimal"/>
      <w:start w:val="3"/>
    </w:lvl>
    <w:lvl w:ilvl="1">
      <w:lvlJc w:val="left"/>
      <w:lvlText w:val="%2"/>
      <w:numFmt w:val="lowerLetter"/>
      <w:start w:val="1"/>
    </w:lvl>
  </w:abstractNum>
  <w:abstractNum w:abstractNumId="38">
    <w:nsid w:val="153EA438"/>
    <w:multiLevelType w:val="hybridMultilevel"/>
    <w:lvl w:ilvl="0">
      <w:lvlJc w:val="left"/>
      <w:lvlText w:val="%1."/>
      <w:numFmt w:val="decimal"/>
      <w:start w:val="4"/>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decimal"/>
      <w:start w:val="6"/>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85" Type="http://schemas.openxmlformats.org/officeDocument/2006/relationships/image" Target="media/image315.png"/><Relationship Id="rId386" Type="http://schemas.openxmlformats.org/officeDocument/2006/relationships/image" Target="media/image316.png"/><Relationship Id="rId387" Type="http://schemas.openxmlformats.org/officeDocument/2006/relationships/image" Target="media/image317.png"/><Relationship Id="rId388" Type="http://schemas.openxmlformats.org/officeDocument/2006/relationships/image" Target="media/image318.png"/><Relationship Id="rId389" Type="http://schemas.openxmlformats.org/officeDocument/2006/relationships/image" Target="media/image319.png"/><Relationship Id="rId390" Type="http://schemas.openxmlformats.org/officeDocument/2006/relationships/image" Target="media/image320.png"/><Relationship Id="rId391" Type="http://schemas.openxmlformats.org/officeDocument/2006/relationships/image" Target="media/image321.jpeg"/><Relationship Id="rId392" Type="http://schemas.openxmlformats.org/officeDocument/2006/relationships/image" Target="media/image322.png"/><Relationship Id="rId393" Type="http://schemas.openxmlformats.org/officeDocument/2006/relationships/image" Target="media/image323.png"/><Relationship Id="rId394" Type="http://schemas.openxmlformats.org/officeDocument/2006/relationships/image" Target="media/image324.png"/><Relationship Id="rId395" Type="http://schemas.openxmlformats.org/officeDocument/2006/relationships/image" Target="media/image325.png"/><Relationship Id="rId396" Type="http://schemas.openxmlformats.org/officeDocument/2006/relationships/image" Target="media/image326.png"/><Relationship Id="rId397" Type="http://schemas.openxmlformats.org/officeDocument/2006/relationships/image" Target="media/image327.png"/><Relationship Id="rId398" Type="http://schemas.openxmlformats.org/officeDocument/2006/relationships/image" Target="media/image328.png"/><Relationship Id="rId399" Type="http://schemas.openxmlformats.org/officeDocument/2006/relationships/image" Target="media/image329.png"/><Relationship Id="rId400" Type="http://schemas.openxmlformats.org/officeDocument/2006/relationships/image" Target="media/image330.png"/><Relationship Id="rId314" Type="http://schemas.openxmlformats.org/officeDocument/2006/relationships/hyperlink" Target="http://www.sec.gov/Archives/edgar/data/1166003/000095012311058838/k50502exv2w1.htm" TargetMode="External"/><Relationship Id="rId315" Type="http://schemas.openxmlformats.org/officeDocument/2006/relationships/hyperlink" Target="https://www.sec.gov/Archives/edgar/data/1166003/000162828021015382/exhibit21-form8xkxpo.htm" TargetMode="External"/><Relationship Id="rId316" Type="http://schemas.openxmlformats.org/officeDocument/2006/relationships/hyperlink" Target="http://www.sec.gov/Archives/edgar/data/1166003/000095012408001571/k25117exv3w1.htm" TargetMode="External"/><Relationship Id="rId317" Type="http://schemas.openxmlformats.org/officeDocument/2006/relationships/hyperlink" Target="http://www.sec.gov/Archives/edgar/data/1166003/000095012406003167/k05874exv3.htm" TargetMode="External"/><Relationship Id="rId318" Type="http://schemas.openxmlformats.org/officeDocument/2006/relationships/hyperlink" Target="http://www.sec.gov/Archives/edgar/data/1166003/000095012407004281/k17740exv3wxiy.htm" TargetMode="External"/><Relationship Id="rId319" Type="http://schemas.openxmlformats.org/officeDocument/2006/relationships/hyperlink" Target="http://www.sec.gov/Archives/edgar/data/1166003/000095012311082522/k50709exv3w1.htm" TargetMode="External"/><Relationship Id="rId320" Type="http://schemas.openxmlformats.org/officeDocument/2006/relationships/hyperlink" Target="http://www.sec.gov/Archives/edgar/data/1166003/000116600315000025/form8k05202015ex31.htm" TargetMode="External"/><Relationship Id="rId321" Type="http://schemas.openxmlformats.org/officeDocument/2006/relationships/hyperlink" Target="http://www.sec.gov/Archives/edgar/data/1166003/000116600315000054/form8k09082015ex31.htm" TargetMode="External"/><Relationship Id="rId322" Type="http://schemas.openxmlformats.org/officeDocument/2006/relationships/hyperlink" Target="http://www.sec.gov/Archives/edgar/data/1166003/000095012407004729/k18616a1exv3wxiiy.htm" TargetMode="External"/><Relationship Id="rId323" Type="http://schemas.openxmlformats.org/officeDocument/2006/relationships/hyperlink" Target="http://www.sec.gov/Archives/edgar/data/1166003/000116600315000025/form8k05202015ex32.htm" TargetMode="External"/><Relationship Id="rId324" Type="http://schemas.openxmlformats.org/officeDocument/2006/relationships/hyperlink" Target="http://www.sec.gov/Archives/edgar/data/1166003/000119312517087392/d349438dex31.htm" TargetMode="External"/><Relationship Id="rId325" Type="http://schemas.openxmlformats.org/officeDocument/2006/relationships/hyperlink" Target="http://www.sec.gov/Archives/edgar/data/1166003/000095012311082522/k50709exv4w1.htm" TargetMode="External"/><Relationship Id="rId328" Type="http://schemas.openxmlformats.org/officeDocument/2006/relationships/hyperlink" Target="http://www.sec.gov/Archives/edgar/data/1166003/000095012311082522/k50709exv4w2.htm" TargetMode="External"/><Relationship Id="rId329" Type="http://schemas.openxmlformats.org/officeDocument/2006/relationships/hyperlink" Target="http://www.sec.gov/Archives/edgar/data/1166003/000095012311082522/k50709exv4w3.htm" TargetMode="External"/><Relationship Id="rId330" Type="http://schemas.openxmlformats.org/officeDocument/2006/relationships/hyperlink" Target="http://www.sec.gov/Archives/edgar/data/1166003/000119312514344903/d791796dex41.htm" TargetMode="External"/><Relationship Id="rId331" Type="http://schemas.openxmlformats.org/officeDocument/2006/relationships/hyperlink" Target="http://www.sec.gov/Archives/edgar/data/1166003/000119312515237429/d947974dex42.htm" TargetMode="External"/><Relationship Id="rId332" Type="http://schemas.openxmlformats.org/officeDocument/2006/relationships/hyperlink" Target="http://www.sec.gov/Archives/edgar/data/1166003/000116600320000028/xpo201910-kexx49.htm" TargetMode="External"/><Relationship Id="rId333" Type="http://schemas.openxmlformats.org/officeDocument/2006/relationships/hyperlink" Target="http://www.sec.gov/Archives/edgar/data/1166003/000119312516693998/d231200dex41.htm" TargetMode="External"/><Relationship Id="rId334" Type="http://schemas.openxmlformats.org/officeDocument/2006/relationships/hyperlink" Target="http://www.sec.gov/Archives/edgar/data/1166003/000110465919010097/a19-4802_3ex4d1.htm" TargetMode="External"/><Relationship Id="rId335" Type="http://schemas.openxmlformats.org/officeDocument/2006/relationships/hyperlink" Target="http://www.sec.gov/Archives/edgar/data/1166003/000110465920052459/tm2016461d5_ex4-1.htm" TargetMode="External"/><Relationship Id="rId336" Type="http://schemas.openxmlformats.org/officeDocument/2006/relationships/hyperlink" Target="http://www.sec.gov/Archives/edgar/data/1166003/000119312512090969/d306070dex1020.htm" TargetMode="External"/><Relationship Id="rId337" Type="http://schemas.openxmlformats.org/officeDocument/2006/relationships/hyperlink" Target="http://www.sec.gov/Archives/edgar/data/1166003/000119312512090969/d306070dex1021.htm" TargetMode="External"/><Relationship Id="rId338" Type="http://schemas.openxmlformats.org/officeDocument/2006/relationships/hyperlink" Target="http://www.sec.gov/Archives/edgar/data/1166003/000119312512191107/d287575ddef14a.htm#toc287575_36" TargetMode="External"/><Relationship Id="rId339" Type="http://schemas.openxmlformats.org/officeDocument/2006/relationships/hyperlink" Target="http://www.sec.gov/Archives/edgar/data/1166003/000119312514106715/d696124dex102.htm" TargetMode="External"/><Relationship Id="rId340" Type="http://schemas.openxmlformats.org/officeDocument/2006/relationships/hyperlink" Target="http://www.sec.gov/Archives/edgar/data/1166003/000119312516773830/d256720ddef14a.htm#proxy256720_12" TargetMode="External"/><Relationship Id="rId341" Type="http://schemas.openxmlformats.org/officeDocument/2006/relationships/hyperlink" Target="http://www.sec.gov/Archives/edgar/data/1166003/000162828017001912/xpo201610-kexx1017.htm" TargetMode="External"/><Relationship Id="rId342" Type="http://schemas.openxmlformats.org/officeDocument/2006/relationships/hyperlink" Target="https://www.sec.gov/Archives/edgar/data/1166003/000116600318000063/xpo2018q310-qexx103.htm" TargetMode="External"/><Relationship Id="rId345" Type="http://schemas.openxmlformats.org/officeDocument/2006/relationships/hyperlink" Target="http://www.sec.gov/Archives/edgar/data/1166003/000116600318000063/xpo2018q310-qexx104.htm" TargetMode="External"/><Relationship Id="rId346" Type="http://schemas.openxmlformats.org/officeDocument/2006/relationships/hyperlink" Target="http://www.sec.gov/Archives/edgar/data/1166003/000104746919002443/a2238430zdef14a.htm" TargetMode="External"/><Relationship Id="rId347" Type="http://schemas.openxmlformats.org/officeDocument/2006/relationships/hyperlink" Target="http://www.sec.gov/Archives/edgar/data/1166003/000116600319000041/xpo2019q210-qexx107.htm" TargetMode="External"/><Relationship Id="rId348" Type="http://schemas.openxmlformats.org/officeDocument/2006/relationships/hyperlink" Target="http://www.sec.gov/Archives/edgar/data/1166003/000104746920002482/a2241399zdef14a.htm#ek75601_annex_b_-_amendment_to_the_xpo__ann03140" TargetMode="External"/><Relationship Id="rId349" Type="http://schemas.openxmlformats.org/officeDocument/2006/relationships/hyperlink" Target="http://www.sec.gov/Archives/edgar/data/1166003/000116600320000047/xpo2020q2ex-108.htm" TargetMode="External"/><Relationship Id="rId350" Type="http://schemas.openxmlformats.org/officeDocument/2006/relationships/hyperlink" Target="https://www.sec.gov/Archives/edgar/data/1166003/000116600321000071/xpo2021q210-qexx102.htm" TargetMode="External"/><Relationship Id="rId351" Type="http://schemas.openxmlformats.org/officeDocument/2006/relationships/hyperlink" Target="https://www.sec.gov/Archives/edgar/data/1166003/000116600321000099/ex106cfoprsuagreement.htm" TargetMode="External"/><Relationship Id="rId352" Type="http://schemas.openxmlformats.org/officeDocument/2006/relationships/hyperlink" Target="http://www.sec.gov/Archives/edgar/data/1166003/000116600319000041/xpo2019q210-qexx106.htm" TargetMode="External"/><Relationship Id="rId353" Type="http://schemas.openxmlformats.org/officeDocument/2006/relationships/hyperlink" Target="http://www.sec.gov/Archives/edgar/data/1166003/000116600320000039/xpo2020q110-qexx101.htm" TargetMode="External"/><Relationship Id="rId354" Type="http://schemas.openxmlformats.org/officeDocument/2006/relationships/hyperlink" Target="http://www.sec.gov/Archives/edgar/data/1166003/000116600320000039/xpo2020q110-qexx102.htm" TargetMode="External"/><Relationship Id="rId355" Type="http://schemas.openxmlformats.org/officeDocument/2006/relationships/hyperlink" Target="http://www.sec.gov/Archives/edgar/data/1166003/000110465920058377/tm2016461d9_ex99-1.htm" TargetMode="External"/><Relationship Id="rId356" Type="http://schemas.openxmlformats.org/officeDocument/2006/relationships/hyperlink" Target="http://www.sec.gov/Archives/edgar/data/1166003/000116600320000047/xpo2020q2ex-105.htm" TargetMode="External"/><Relationship Id="rId357" Type="http://schemas.openxmlformats.org/officeDocument/2006/relationships/hyperlink" Target="http://www.sec.gov/Archives/edgar/data/1166003/000116600320000047/xpo2020q2ex-106.htm" TargetMode="External"/><Relationship Id="rId358" Type="http://schemas.openxmlformats.org/officeDocument/2006/relationships/hyperlink" Target="http://www.sec.gov/Archives/edgar/data/1166003/000116600320000047/xpo2020q2ex-107.htm" TargetMode="External"/><Relationship Id="rId361" Type="http://schemas.openxmlformats.org/officeDocument/2006/relationships/hyperlink" Target="https://www.sec.gov/Archives/edgar/data/1166003/000116600321000099/ex107cfoofferletter.htm" TargetMode="External"/><Relationship Id="rId362" Type="http://schemas.openxmlformats.org/officeDocument/2006/relationships/hyperlink" Target="https://www.sec.gov/Archives/edgar/data/1166003/000116600321000099/ex108cfoseveranceagreement.htm" TargetMode="External"/><Relationship Id="rId363" Type="http://schemas.openxmlformats.org/officeDocument/2006/relationships/hyperlink" Target="http://www.sec.gov/Archives/edgar/data/1166003/000119312517348204/d427065ddef14a.htm" TargetMode="External"/><Relationship Id="rId364" Type="http://schemas.openxmlformats.org/officeDocument/2006/relationships/hyperlink" Target="http://www.sec.gov/Archives/edgar/data/1166003/000116600319000021/xpo201810-kexx1018.htm" TargetMode="External"/><Relationship Id="rId365" Type="http://schemas.openxmlformats.org/officeDocument/2006/relationships/hyperlink" Target="http://www.sec.gov/Archives/edgar/data/1166003/000119312515361214/d57363dex101.htm" TargetMode="External"/><Relationship Id="rId366" Type="http://schemas.openxmlformats.org/officeDocument/2006/relationships/hyperlink" Target="http://www.sec.gov/Archives/edgar/data/1166003/000119312517235079/d415421dex101.htm" TargetMode="External"/><Relationship Id="rId367" Type="http://schemas.openxmlformats.org/officeDocument/2006/relationships/hyperlink" Target="http://www.sec.gov/Archives/edgar/data/1166003/000116600318000047/xpo2018q110-qexx102.htm" TargetMode="External"/><Relationship Id="rId368" Type="http://schemas.openxmlformats.org/officeDocument/2006/relationships/hyperlink" Target="http://www.sec.gov/Archives/edgar/data/1166003/000110465919026060/a19-9119_1ex10d1.htm" TargetMode="External"/><Relationship Id="rId369" Type="http://schemas.openxmlformats.org/officeDocument/2006/relationships/hyperlink" Target="http://www.sec.gov/Archives/edgar/data/1166003/000116600320000047/xpo2020q2ex-101.htm" TargetMode="External"/><Relationship Id="rId370" Type="http://schemas.openxmlformats.org/officeDocument/2006/relationships/hyperlink" Target="http://www.sec.gov/Archives/edgar/data/1166003/000116600320000047/xpo2020q2ex-104.htm" TargetMode="External"/><Relationship Id="rId371" Type="http://schemas.openxmlformats.org/officeDocument/2006/relationships/hyperlink" Target="https://www.sec.gov/Archives/edgar/data/1166003/000162828021015382/exhibit105-form8xkxpo.htm" TargetMode="External"/><Relationship Id="rId372" Type="http://schemas.openxmlformats.org/officeDocument/2006/relationships/hyperlink" Target="http://www.sec.gov/Archives/edgar/data/1166003/000119312515361214/d57363dex102.htm" TargetMode="External"/><Relationship Id="rId375" Type="http://schemas.openxmlformats.org/officeDocument/2006/relationships/hyperlink" Target="http://www.sec.gov/Archives/edgar/data/1166003/000119312516693998/d231200dex101.htm" TargetMode="External"/><Relationship Id="rId376" Type="http://schemas.openxmlformats.org/officeDocument/2006/relationships/hyperlink" Target="http://www.sec.gov/Archives/edgar/data/1166003/000119312517079664/d325309dex101.htm" TargetMode="External"/><Relationship Id="rId377" Type="http://schemas.openxmlformats.org/officeDocument/2006/relationships/hyperlink" Target="http://www.sec.gov/Archives/edgar/data/1166003/000119312518058662/d542963dex101.htm" TargetMode="External"/><Relationship Id="rId378" Type="http://schemas.openxmlformats.org/officeDocument/2006/relationships/hyperlink" Target="http://www.sec.gov/Archives/edgar/data/1166003/000116600319000030/xpo2019q110-qexx101.htm" TargetMode="External"/><Relationship Id="rId379" Type="http://schemas.openxmlformats.org/officeDocument/2006/relationships/hyperlink" Target="http://www.sec.gov/Archives/edgar/data/1166003/000110465919015585/a19-6728_1ex10d1.htm" TargetMode="External"/><Relationship Id="rId380" Type="http://schemas.openxmlformats.org/officeDocument/2006/relationships/hyperlink" Target="https://www.sec.gov/Archives/edgar/data/1166003/000110465921031167/tm218397d1_ex10-1.htm" TargetMode="External"/><Relationship Id="rId381" Type="http://schemas.openxmlformats.org/officeDocument/2006/relationships/hyperlink" Target="https://www.sec.gov/Archives/edgar/data/1166003/000162828021015382/exhibit101-form8xkxpo.htm" TargetMode="External"/><Relationship Id="rId382" Type="http://schemas.openxmlformats.org/officeDocument/2006/relationships/hyperlink" Target="https://www.sec.gov/Archives/edgar/data/1166003/000162828021015382/exhibit102-form8xkxpo.htm" TargetMode="External"/><Relationship Id="rId383" Type="http://schemas.openxmlformats.org/officeDocument/2006/relationships/hyperlink" Target="https://www.sec.gov/Archives/edgar/data/1166003/000162828021015382/exhibit103-form8kxpo.htm" TargetMode="External"/><Relationship Id="rId384" Type="http://schemas.openxmlformats.org/officeDocument/2006/relationships/hyperlink" Target="https://www.sec.gov/Archives/edgar/data/1166003/000162828021015382/exhibit104-form8xkx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2022-02-16T15:25:48Z</dcterms:created>
  <dcterms:modified xsi:type="dcterms:W3CDTF">2022-02-16T15:25:48Z</dcterms:modified>
</cp:coreProperties>
</file>