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3"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___________________________________________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1" w:lineRule="exact"/>
        <w:rPr>
          <w:sz w:val="24"/>
          <w:szCs w:val="24"/>
          <w:color w:val="auto"/>
        </w:rPr>
      </w:pPr>
    </w:p>
    <w:p>
      <w:pPr>
        <w:ind w:left="3820" w:right="1600" w:hanging="3785"/>
        <w:spacing w:after="0" w:line="276" w:lineRule="auto"/>
        <w:tabs>
          <w:tab w:leader="none" w:pos="50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3520" w:right="1580" w:hanging="3485"/>
        <w:spacing w:after="0" w:line="367" w:lineRule="auto"/>
        <w:tabs>
          <w:tab w:leader="none" w:pos="49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w:t>
      </w:r>
      <w:r>
        <w:rPr>
          <w:rFonts w:ascii="Arial" w:cs="Arial" w:eastAsia="Arial" w:hAnsi="Arial"/>
          <w:sz w:val="14"/>
          <w:szCs w:val="14"/>
          <w:b w:val="1"/>
          <w:bCs w:val="1"/>
          <w:color w:val="auto"/>
        </w:rPr>
        <w:t>____________</w:t>
      </w:r>
      <w:r>
        <w:rPr>
          <w:rFonts w:ascii="Arial" w:cs="Arial" w:eastAsia="Arial" w:hAnsi="Arial"/>
          <w:sz w:val="18"/>
          <w:szCs w:val="18"/>
          <w:b w:val="1"/>
          <w:bCs w:val="1"/>
          <w:color w:val="auto"/>
        </w:rPr>
        <w:t>to</w:t>
      </w:r>
      <w:r>
        <w:rPr>
          <w:rFonts w:ascii="Arial" w:cs="Arial" w:eastAsia="Arial" w:hAnsi="Arial"/>
          <w:sz w:val="14"/>
          <w:szCs w:val="14"/>
          <w:b w:val="1"/>
          <w:bCs w:val="1"/>
          <w:color w:val="auto"/>
        </w:rPr>
        <w:t>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001-32172</w:t>
      </w:r>
    </w:p>
    <w:p>
      <w:pPr>
        <w:spacing w:after="0" w:line="21"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73660</wp:posOffset>
            </wp:positionV>
            <wp:extent cx="2511425"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1142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XPO Logistics, Inc.</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40" w:type="dxa"/>
            <w:vAlign w:val="bottom"/>
            <w:gridSpan w:val="2"/>
          </w:tcPr>
          <w:p>
            <w:pPr>
              <w:jc w:val="center"/>
              <w:ind w:left="1703"/>
              <w:spacing w:after="0"/>
              <w:rPr>
                <w:sz w:val="20"/>
                <w:szCs w:val="20"/>
                <w:color w:val="auto"/>
              </w:rPr>
            </w:pPr>
            <w:r>
              <w:rPr>
                <w:rFonts w:ascii="Arial" w:cs="Arial" w:eastAsia="Arial" w:hAnsi="Arial"/>
                <w:sz w:val="18"/>
                <w:szCs w:val="18"/>
                <w:b w:val="1"/>
                <w:bCs w:val="1"/>
                <w:color w:val="auto"/>
                <w:w w:val="93"/>
              </w:rPr>
              <w:t>Delaware</w:t>
            </w:r>
          </w:p>
        </w:tc>
        <w:tc>
          <w:tcPr>
            <w:tcW w:w="4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60" w:type="dxa"/>
            <w:vAlign w:val="bottom"/>
          </w:tcPr>
          <w:p>
            <w:pPr>
              <w:jc w:val="right"/>
              <w:ind w:right="2243"/>
              <w:spacing w:after="0"/>
              <w:rPr>
                <w:sz w:val="20"/>
                <w:szCs w:val="20"/>
                <w:color w:val="auto"/>
              </w:rPr>
            </w:pPr>
            <w:r>
              <w:rPr>
                <w:rFonts w:ascii="Arial" w:cs="Arial" w:eastAsia="Arial" w:hAnsi="Arial"/>
                <w:sz w:val="18"/>
                <w:szCs w:val="18"/>
                <w:b w:val="1"/>
                <w:bCs w:val="1"/>
                <w:color w:val="auto"/>
              </w:rPr>
              <w:t>03-0450326</w:t>
            </w:r>
          </w:p>
        </w:tc>
      </w:tr>
      <w:tr>
        <w:trPr>
          <w:trHeight w:val="180"/>
        </w:trPr>
        <w:tc>
          <w:tcPr>
            <w:tcW w:w="3640" w:type="dxa"/>
            <w:vAlign w:val="bottom"/>
            <w:gridSpan w:val="2"/>
          </w:tcPr>
          <w:p>
            <w:pPr>
              <w:jc w:val="center"/>
              <w:ind w:left="1683"/>
              <w:spacing w:after="0"/>
              <w:rPr>
                <w:sz w:val="20"/>
                <w:szCs w:val="20"/>
                <w:color w:val="auto"/>
              </w:rPr>
            </w:pPr>
            <w:r>
              <w:rPr>
                <w:rFonts w:ascii="Arial" w:cs="Arial" w:eastAsia="Arial" w:hAnsi="Arial"/>
                <w:sz w:val="14"/>
                <w:szCs w:val="14"/>
                <w:b w:val="1"/>
                <w:bCs w:val="1"/>
                <w:color w:val="auto"/>
                <w:w w:val="93"/>
              </w:rPr>
              <w:t>(State or other jurisdiction of</w:t>
            </w:r>
          </w:p>
        </w:tc>
        <w:tc>
          <w:tcPr>
            <w:tcW w:w="4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360" w:type="dxa"/>
            <w:vAlign w:val="bottom"/>
          </w:tcPr>
          <w:p>
            <w:pPr>
              <w:jc w:val="center"/>
              <w:ind w:right="2043"/>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gridSpan w:val="2"/>
          </w:tcPr>
          <w:p>
            <w:pPr>
              <w:jc w:val="center"/>
              <w:ind w:left="1683"/>
              <w:spacing w:after="0"/>
              <w:rPr>
                <w:sz w:val="20"/>
                <w:szCs w:val="20"/>
                <w:color w:val="auto"/>
              </w:rPr>
            </w:pPr>
            <w:r>
              <w:rPr>
                <w:rFonts w:ascii="Arial" w:cs="Arial" w:eastAsia="Arial" w:hAnsi="Arial"/>
                <w:sz w:val="14"/>
                <w:szCs w:val="14"/>
                <w:b w:val="1"/>
                <w:bCs w:val="1"/>
                <w:color w:val="auto"/>
                <w:w w:val="94"/>
              </w:rPr>
              <w:t>incorporation or organization)</w:t>
            </w:r>
          </w:p>
        </w:tc>
        <w:tc>
          <w:tcPr>
            <w:tcW w:w="4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60" w:type="dxa"/>
            <w:vAlign w:val="bottom"/>
          </w:tcPr>
          <w:p>
            <w:pPr>
              <w:jc w:val="center"/>
              <w:ind w:right="2063"/>
              <w:spacing w:after="0"/>
              <w:rPr>
                <w:sz w:val="20"/>
                <w:szCs w:val="20"/>
                <w:color w:val="auto"/>
              </w:rPr>
            </w:pPr>
            <w:r>
              <w:rPr>
                <w:rFonts w:ascii="Arial" w:cs="Arial" w:eastAsia="Arial" w:hAnsi="Arial"/>
                <w:sz w:val="14"/>
                <w:szCs w:val="14"/>
                <w:b w:val="1"/>
                <w:bCs w:val="1"/>
                <w:color w:val="auto"/>
                <w:w w:val="96"/>
              </w:rPr>
              <w:t>Identification No.)</w:t>
            </w:r>
          </w:p>
        </w:tc>
      </w:tr>
      <w:tr>
        <w:trPr>
          <w:trHeight w:val="255"/>
        </w:trPr>
        <w:tc>
          <w:tcPr>
            <w:tcW w:w="3640" w:type="dxa"/>
            <w:vAlign w:val="bottom"/>
            <w:gridSpan w:val="2"/>
          </w:tcPr>
          <w:p>
            <w:pPr>
              <w:jc w:val="center"/>
              <w:ind w:left="1703"/>
              <w:spacing w:after="0"/>
              <w:rPr>
                <w:sz w:val="20"/>
                <w:szCs w:val="20"/>
                <w:color w:val="auto"/>
              </w:rPr>
            </w:pPr>
            <w:r>
              <w:rPr>
                <w:rFonts w:ascii="Arial" w:cs="Arial" w:eastAsia="Arial" w:hAnsi="Arial"/>
                <w:sz w:val="18"/>
                <w:szCs w:val="18"/>
                <w:b w:val="1"/>
                <w:bCs w:val="1"/>
                <w:color w:val="auto"/>
                <w:w w:val="92"/>
              </w:rPr>
              <w:t>Five American Lane</w:t>
            </w:r>
          </w:p>
        </w:tc>
        <w:tc>
          <w:tcPr>
            <w:tcW w:w="4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360" w:type="dxa"/>
            <w:vAlign w:val="bottom"/>
          </w:tcPr>
          <w:p>
            <w:pPr>
              <w:spacing w:after="0"/>
              <w:rPr>
                <w:sz w:val="22"/>
                <w:szCs w:val="22"/>
                <w:color w:val="auto"/>
              </w:rPr>
            </w:pPr>
          </w:p>
        </w:tc>
      </w:tr>
      <w:tr>
        <w:trPr>
          <w:trHeight w:val="270"/>
        </w:trPr>
        <w:tc>
          <w:tcPr>
            <w:tcW w:w="3640" w:type="dxa"/>
            <w:vAlign w:val="bottom"/>
            <w:gridSpan w:val="2"/>
          </w:tcPr>
          <w:p>
            <w:pPr>
              <w:ind w:left="2140"/>
              <w:spacing w:after="0"/>
              <w:rPr>
                <w:sz w:val="20"/>
                <w:szCs w:val="20"/>
                <w:color w:val="auto"/>
              </w:rPr>
            </w:pPr>
            <w:r>
              <w:rPr>
                <w:rFonts w:ascii="Arial" w:cs="Arial" w:eastAsia="Arial" w:hAnsi="Arial"/>
                <w:sz w:val="18"/>
                <w:szCs w:val="18"/>
                <w:b w:val="1"/>
                <w:bCs w:val="1"/>
                <w:color w:val="auto"/>
              </w:rPr>
              <w:t>Greenwich, CT</w:t>
            </w:r>
          </w:p>
        </w:tc>
        <w:tc>
          <w:tcPr>
            <w:tcW w:w="4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360" w:type="dxa"/>
            <w:vAlign w:val="bottom"/>
          </w:tcPr>
          <w:p>
            <w:pPr>
              <w:jc w:val="right"/>
              <w:ind w:right="2443"/>
              <w:spacing w:after="0"/>
              <w:rPr>
                <w:sz w:val="20"/>
                <w:szCs w:val="20"/>
                <w:color w:val="auto"/>
              </w:rPr>
            </w:pPr>
            <w:r>
              <w:rPr>
                <w:rFonts w:ascii="Arial" w:cs="Arial" w:eastAsia="Arial" w:hAnsi="Arial"/>
                <w:sz w:val="18"/>
                <w:szCs w:val="18"/>
                <w:b w:val="1"/>
                <w:bCs w:val="1"/>
                <w:color w:val="auto"/>
              </w:rPr>
              <w:t>06831</w:t>
            </w:r>
          </w:p>
        </w:tc>
      </w:tr>
      <w:tr>
        <w:trPr>
          <w:trHeight w:val="218"/>
        </w:trPr>
        <w:tc>
          <w:tcPr>
            <w:tcW w:w="7880" w:type="dxa"/>
            <w:vAlign w:val="bottom"/>
            <w:gridSpan w:val="5"/>
          </w:tcPr>
          <w:p>
            <w:pPr>
              <w:jc w:val="center"/>
              <w:ind w:right="24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60" w:type="dxa"/>
            <w:vAlign w:val="bottom"/>
          </w:tcPr>
          <w:p>
            <w:pPr>
              <w:jc w:val="center"/>
              <w:ind w:right="2063"/>
              <w:spacing w:after="0"/>
              <w:rPr>
                <w:sz w:val="20"/>
                <w:szCs w:val="20"/>
                <w:color w:val="auto"/>
              </w:rPr>
            </w:pPr>
            <w:r>
              <w:rPr>
                <w:rFonts w:ascii="Arial" w:cs="Arial" w:eastAsia="Arial" w:hAnsi="Arial"/>
                <w:sz w:val="14"/>
                <w:szCs w:val="14"/>
                <w:b w:val="1"/>
                <w:bCs w:val="1"/>
                <w:color w:val="auto"/>
                <w:w w:val="95"/>
              </w:rPr>
              <w:t>(Zip Code)</w:t>
            </w:r>
          </w:p>
        </w:tc>
      </w:tr>
      <w:tr>
        <w:trPr>
          <w:trHeight w:val="295"/>
        </w:trPr>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gridSpan w:val="2"/>
          </w:tcPr>
          <w:p>
            <w:pPr>
              <w:jc w:val="center"/>
              <w:ind w:left="102"/>
              <w:spacing w:after="0"/>
              <w:rPr>
                <w:sz w:val="20"/>
                <w:szCs w:val="20"/>
                <w:color w:val="auto"/>
              </w:rPr>
            </w:pPr>
            <w:r>
              <w:rPr>
                <w:rFonts w:ascii="Arial" w:cs="Arial" w:eastAsia="Arial" w:hAnsi="Arial"/>
                <w:sz w:val="18"/>
                <w:szCs w:val="18"/>
                <w:b w:val="1"/>
                <w:bCs w:val="1"/>
                <w:color w:val="auto"/>
                <w:w w:val="90"/>
              </w:rPr>
              <w:t>(855) 976-6951</w:t>
            </w:r>
          </w:p>
        </w:tc>
        <w:tc>
          <w:tcPr>
            <w:tcW w:w="4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18"/>
        </w:trPr>
        <w:tc>
          <w:tcPr>
            <w:tcW w:w="3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360" w:type="dxa"/>
            <w:vAlign w:val="bottom"/>
          </w:tcPr>
          <w:p>
            <w:pPr>
              <w:spacing w:after="0"/>
              <w:rPr>
                <w:sz w:val="18"/>
                <w:szCs w:val="18"/>
                <w:color w:val="auto"/>
              </w:rPr>
            </w:pPr>
          </w:p>
        </w:tc>
      </w:tr>
      <w:tr>
        <w:trPr>
          <w:trHeight w:val="140"/>
        </w:trPr>
        <w:tc>
          <w:tcPr>
            <w:tcW w:w="3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40" w:type="dxa"/>
            <w:vAlign w:val="bottom"/>
            <w:gridSpan w:val="3"/>
          </w:tcPr>
          <w:p>
            <w:pPr>
              <w:jc w:val="center"/>
              <w:ind w:right="280"/>
              <w:spacing w:after="0"/>
              <w:rPr>
                <w:sz w:val="20"/>
                <w:szCs w:val="20"/>
                <w:color w:val="auto"/>
              </w:rPr>
            </w:pPr>
            <w:r>
              <w:rPr>
                <w:rFonts w:ascii="Arial" w:cs="Arial" w:eastAsia="Arial" w:hAnsi="Arial"/>
                <w:sz w:val="7"/>
                <w:szCs w:val="7"/>
                <w:b w:val="1"/>
                <w:bCs w:val="1"/>
                <w:color w:val="auto"/>
                <w:w w:val="92"/>
              </w:rPr>
              <w:t>______________________________________________________________________________________________________________</w:t>
            </w:r>
          </w:p>
        </w:tc>
        <w:tc>
          <w:tcPr>
            <w:tcW w:w="3360" w:type="dxa"/>
            <w:vAlign w:val="bottom"/>
          </w:tcPr>
          <w:p>
            <w:pPr>
              <w:spacing w:after="0"/>
              <w:rPr>
                <w:sz w:val="12"/>
                <w:szCs w:val="12"/>
                <w:color w:val="auto"/>
              </w:rPr>
            </w:pPr>
          </w:p>
        </w:tc>
      </w:tr>
      <w:tr>
        <w:trPr>
          <w:trHeight w:val="205"/>
        </w:trPr>
        <w:tc>
          <w:tcPr>
            <w:tcW w:w="3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9"/>
              </w:rPr>
              <w:t>N/A</w:t>
            </w:r>
          </w:p>
        </w:tc>
        <w:tc>
          <w:tcPr>
            <w:tcW w:w="3360" w:type="dxa"/>
            <w:vAlign w:val="bottom"/>
          </w:tcPr>
          <w:p>
            <w:pPr>
              <w:spacing w:after="0"/>
              <w:rPr>
                <w:sz w:val="17"/>
                <w:szCs w:val="17"/>
                <w:color w:val="auto"/>
              </w:rPr>
            </w:pPr>
          </w:p>
        </w:tc>
      </w:tr>
      <w:tr>
        <w:trPr>
          <w:trHeight w:val="92"/>
        </w:trPr>
        <w:tc>
          <w:tcPr>
            <w:tcW w:w="3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40" w:type="dxa"/>
            <w:vAlign w:val="bottom"/>
            <w:gridSpan w:val="3"/>
          </w:tcPr>
          <w:p>
            <w:pPr>
              <w:jc w:val="center"/>
              <w:ind w:right="280"/>
              <w:spacing w:after="0"/>
              <w:rPr>
                <w:sz w:val="20"/>
                <w:szCs w:val="20"/>
                <w:color w:val="auto"/>
              </w:rPr>
            </w:pPr>
            <w:r>
              <w:rPr>
                <w:rFonts w:ascii="Arial" w:cs="Arial" w:eastAsia="Arial" w:hAnsi="Arial"/>
                <w:sz w:val="7"/>
                <w:szCs w:val="7"/>
                <w:b w:val="1"/>
                <w:bCs w:val="1"/>
                <w:color w:val="auto"/>
                <w:w w:val="92"/>
              </w:rPr>
              <w:t>______________________________________________________________________________________________________________</w:t>
            </w:r>
          </w:p>
        </w:tc>
        <w:tc>
          <w:tcPr>
            <w:tcW w:w="3360" w:type="dxa"/>
            <w:vAlign w:val="bottom"/>
          </w:tcPr>
          <w:p>
            <w:pPr>
              <w:spacing w:after="0"/>
              <w:rPr>
                <w:sz w:val="8"/>
                <w:szCs w:val="8"/>
                <w:color w:val="auto"/>
              </w:rPr>
            </w:pPr>
          </w:p>
        </w:tc>
      </w:tr>
      <w:tr>
        <w:trPr>
          <w:trHeight w:val="211"/>
        </w:trPr>
        <w:tc>
          <w:tcPr>
            <w:tcW w:w="112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r>
      <w:tr>
        <w:trPr>
          <w:trHeight w:val="216"/>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w w:val="94"/>
              </w:rPr>
              <w:t>Securities registered pursuant to Section 12(b) of the Act:</w:t>
            </w:r>
          </w:p>
        </w:tc>
        <w:tc>
          <w:tcPr>
            <w:tcW w:w="4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398"/>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440" w:type="dxa"/>
            <w:vAlign w:val="bottom"/>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44"/>
        </w:trPr>
        <w:tc>
          <w:tcPr>
            <w:tcW w:w="3640" w:type="dxa"/>
            <w:vAlign w:val="bottom"/>
            <w:gridSpan w:val="2"/>
          </w:tcPr>
          <w:p>
            <w:pPr>
              <w:jc w:val="center"/>
              <w:ind w:right="20"/>
              <w:spacing w:after="0"/>
              <w:rPr>
                <w:sz w:val="20"/>
                <w:szCs w:val="20"/>
                <w:color w:val="auto"/>
              </w:rPr>
            </w:pPr>
            <w:r>
              <w:rPr>
                <w:rFonts w:ascii="Arial" w:cs="Arial" w:eastAsia="Arial" w:hAnsi="Arial"/>
                <w:sz w:val="14"/>
                <w:szCs w:val="14"/>
                <w:color w:val="auto"/>
                <w:w w:val="91"/>
              </w:rPr>
              <w:t>Common stock, par value $0.001 per share</w:t>
            </w:r>
          </w:p>
        </w:tc>
        <w:tc>
          <w:tcPr>
            <w:tcW w:w="440" w:type="dxa"/>
            <w:vAlign w:val="bottom"/>
          </w:tcPr>
          <w:p>
            <w:pPr>
              <w:spacing w:after="0"/>
              <w:rPr>
                <w:sz w:val="21"/>
                <w:szCs w:val="21"/>
                <w:color w:val="auto"/>
              </w:rPr>
            </w:pPr>
          </w:p>
        </w:tc>
        <w:tc>
          <w:tcPr>
            <w:tcW w:w="3800" w:type="dxa"/>
            <w:vAlign w:val="bottom"/>
            <w:gridSpan w:val="2"/>
          </w:tcPr>
          <w:p>
            <w:pPr>
              <w:jc w:val="center"/>
              <w:ind w:right="460"/>
              <w:spacing w:after="0"/>
              <w:rPr>
                <w:sz w:val="20"/>
                <w:szCs w:val="20"/>
                <w:color w:val="auto"/>
              </w:rPr>
            </w:pPr>
            <w:r>
              <w:rPr>
                <w:rFonts w:ascii="Arial" w:cs="Arial" w:eastAsia="Arial" w:hAnsi="Arial"/>
                <w:sz w:val="14"/>
                <w:szCs w:val="14"/>
                <w:color w:val="auto"/>
              </w:rPr>
              <w:t>XPO</w:t>
            </w:r>
          </w:p>
        </w:tc>
        <w:tc>
          <w:tcPr>
            <w:tcW w:w="336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65"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right="1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00" w:firstLine="43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31" w:right="339" w:bottom="1440" w:gutter="0" w:footer="0" w:header="0"/>
        </w:sectPr>
      </w:pPr>
    </w:p>
    <w:p>
      <w:pPr>
        <w:spacing w:after="0" w:line="130"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6">
            <w:col w:w="2480" w:space="720"/>
            <w:col w:w="160" w:space="500"/>
            <w:col w:w="2660" w:space="720"/>
            <w:col w:w="160" w:space="520"/>
            <w:col w:w="2300" w:space="720"/>
            <w:col w:w="300"/>
          </w:cols>
          <w:pgMar w:left="320" w:top="431" w:right="3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83" w:lineRule="exact"/>
        <w:rPr>
          <w:sz w:val="24"/>
          <w:szCs w:val="24"/>
          <w:color w:val="auto"/>
        </w:rPr>
      </w:pPr>
    </w:p>
    <w:p>
      <w:pPr>
        <w:sectPr>
          <w:pgSz w:w="11900" w:h="16838" w:orient="portrait"/>
          <w:cols w:equalWidth="0" w:num="4">
            <w:col w:w="2480" w:space="720"/>
            <w:col w:w="160" w:space="500"/>
            <w:col w:w="2660" w:space="720"/>
            <w:col w:w="4000"/>
          </w:cols>
          <w:pgMar w:left="320" w:top="431" w:right="339" w:bottom="1440" w:gutter="0" w:footer="0" w:header="0"/>
          <w:type w:val="continuous"/>
        </w:sectPr>
      </w:pPr>
    </w:p>
    <w:p>
      <w:pPr>
        <w:ind w:right="80" w:firstLine="43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40" w:right="164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27, 2020, there were 91,126,364 shares of the registrant’s common stock, par value $0.001 per share, outstanding.</w:t>
      </w:r>
    </w:p>
    <w:p>
      <w:pPr>
        <w:sectPr>
          <w:pgSz w:w="11900" w:h="16838" w:orient="portrait"/>
          <w:cols w:equalWidth="0" w:num="1">
            <w:col w:w="11240"/>
          </w:cols>
          <w:pgMar w:left="320" w:top="431" w:right="3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XPO Logistics, Inc.</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80" w:type="dxa"/>
            <w:vAlign w:val="bottom"/>
          </w:tcPr>
          <w:p>
            <w:pPr>
              <w:spacing w:after="0"/>
              <w:rPr>
                <w:sz w:val="20"/>
                <w:szCs w:val="20"/>
                <w:color w:val="auto"/>
              </w:rPr>
            </w:pPr>
          </w:p>
        </w:tc>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10080" w:type="dxa"/>
            <w:vAlign w:val="bottom"/>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I—Financial Information</w:t>
              </w:r>
            </w:hyperlink>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08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00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080" w:type="dxa"/>
            <w:vAlign w:val="bottom"/>
          </w:tcPr>
          <w:p>
            <w:pPr>
              <w:ind w:left="3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w:t>
              </w:r>
            </w:hyperlink>
          </w:p>
        </w:tc>
        <w:tc>
          <w:tcPr>
            <w:tcW w:w="1120" w:type="dxa"/>
            <w:vAlign w:val="bottom"/>
          </w:tcPr>
          <w:p>
            <w:pPr>
              <w:jc w:val="center"/>
              <w:spacing w:after="0"/>
              <w:rPr>
                <w:rFonts w:ascii="Arial" w:cs="Arial" w:eastAsia="Arial" w:hAnsi="Arial"/>
                <w:sz w:val="18"/>
                <w:szCs w:val="18"/>
                <w:u w:val="single" w:color="auto"/>
                <w:color w:val="0000EE"/>
                <w:w w:val="79"/>
              </w:rPr>
            </w:pPr>
            <w:hyperlink w:anchor="page3">
              <w:r>
                <w:rPr>
                  <w:rFonts w:ascii="Arial" w:cs="Arial" w:eastAsia="Arial" w:hAnsi="Arial"/>
                  <w:sz w:val="18"/>
                  <w:szCs w:val="18"/>
                  <w:u w:val="single" w:color="auto"/>
                  <w:color w:val="0000EE"/>
                  <w:w w:val="79"/>
                </w:rPr>
                <w:t>1</w:t>
              </w:r>
            </w:hyperlink>
          </w:p>
        </w:tc>
        <w:tc>
          <w:tcPr>
            <w:tcW w:w="0" w:type="dxa"/>
            <w:vAlign w:val="bottom"/>
          </w:tcPr>
          <w:p>
            <w:pPr>
              <w:spacing w:after="0"/>
              <w:rPr>
                <w:sz w:val="1"/>
                <w:szCs w:val="1"/>
                <w:color w:val="auto"/>
              </w:rPr>
            </w:pPr>
          </w:p>
        </w:tc>
      </w:tr>
      <w:tr>
        <w:trPr>
          <w:trHeight w:val="270"/>
        </w:trPr>
        <w:tc>
          <w:tcPr>
            <w:tcW w:w="10080" w:type="dxa"/>
            <w:vAlign w:val="bottom"/>
          </w:tcPr>
          <w:p>
            <w:pPr>
              <w:ind w:left="3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Income</w:t>
              </w:r>
            </w:hyperlink>
          </w:p>
        </w:tc>
        <w:tc>
          <w:tcPr>
            <w:tcW w:w="1120" w:type="dxa"/>
            <w:vAlign w:val="bottom"/>
          </w:tcPr>
          <w:p>
            <w:pPr>
              <w:jc w:val="center"/>
              <w:spacing w:after="0"/>
              <w:rPr>
                <w:rFonts w:ascii="Arial" w:cs="Arial" w:eastAsia="Arial" w:hAnsi="Arial"/>
                <w:sz w:val="18"/>
                <w:szCs w:val="18"/>
                <w:u w:val="single" w:color="auto"/>
                <w:color w:val="0000EE"/>
                <w:w w:val="79"/>
              </w:rPr>
            </w:pPr>
            <w:hyperlink w:anchor="page4">
              <w:r>
                <w:rPr>
                  <w:rFonts w:ascii="Arial" w:cs="Arial" w:eastAsia="Arial" w:hAnsi="Arial"/>
                  <w:sz w:val="18"/>
                  <w:szCs w:val="18"/>
                  <w:u w:val="single" w:color="auto"/>
                  <w:color w:val="0000EE"/>
                  <w:w w:val="79"/>
                </w:rPr>
                <w:t>2</w:t>
              </w:r>
            </w:hyperlink>
          </w:p>
        </w:tc>
        <w:tc>
          <w:tcPr>
            <w:tcW w:w="0" w:type="dxa"/>
            <w:vAlign w:val="bottom"/>
          </w:tcPr>
          <w:p>
            <w:pPr>
              <w:spacing w:after="0"/>
              <w:rPr>
                <w:sz w:val="1"/>
                <w:szCs w:val="1"/>
                <w:color w:val="auto"/>
              </w:rPr>
            </w:pPr>
          </w:p>
        </w:tc>
      </w:tr>
      <w:tr>
        <w:trPr>
          <w:trHeight w:val="270"/>
        </w:trPr>
        <w:tc>
          <w:tcPr>
            <w:tcW w:w="10080" w:type="dxa"/>
            <w:vAlign w:val="bottom"/>
          </w:tcPr>
          <w:p>
            <w:pPr>
              <w:ind w:left="3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Comprehensive (Loss) Income</w:t>
              </w:r>
            </w:hyperlink>
          </w:p>
        </w:tc>
        <w:tc>
          <w:tcPr>
            <w:tcW w:w="1120" w:type="dxa"/>
            <w:vAlign w:val="bottom"/>
          </w:tcPr>
          <w:p>
            <w:pPr>
              <w:jc w:val="center"/>
              <w:spacing w:after="0"/>
              <w:rPr>
                <w:rFonts w:ascii="Arial" w:cs="Arial" w:eastAsia="Arial" w:hAnsi="Arial"/>
                <w:sz w:val="18"/>
                <w:szCs w:val="18"/>
                <w:u w:val="single" w:color="auto"/>
                <w:color w:val="0000EE"/>
                <w:w w:val="79"/>
              </w:rPr>
            </w:pPr>
            <w:hyperlink w:anchor="page5">
              <w:r>
                <w:rPr>
                  <w:rFonts w:ascii="Arial" w:cs="Arial" w:eastAsia="Arial" w:hAnsi="Arial"/>
                  <w:sz w:val="18"/>
                  <w:szCs w:val="18"/>
                  <w:u w:val="single" w:color="auto"/>
                  <w:color w:val="0000EE"/>
                  <w:w w:val="79"/>
                </w:rPr>
                <w:t>3</w:t>
              </w:r>
            </w:hyperlink>
          </w:p>
        </w:tc>
        <w:tc>
          <w:tcPr>
            <w:tcW w:w="0" w:type="dxa"/>
            <w:vAlign w:val="bottom"/>
          </w:tcPr>
          <w:p>
            <w:pPr>
              <w:spacing w:after="0"/>
              <w:rPr>
                <w:sz w:val="1"/>
                <w:szCs w:val="1"/>
                <w:color w:val="auto"/>
              </w:rPr>
            </w:pPr>
          </w:p>
        </w:tc>
      </w:tr>
      <w:tr>
        <w:trPr>
          <w:trHeight w:val="270"/>
        </w:trPr>
        <w:tc>
          <w:tcPr>
            <w:tcW w:w="10080" w:type="dxa"/>
            <w:vAlign w:val="bottom"/>
          </w:tcPr>
          <w:p>
            <w:pPr>
              <w:ind w:left="3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w:t>
              </w:r>
            </w:hyperlink>
          </w:p>
        </w:tc>
        <w:tc>
          <w:tcPr>
            <w:tcW w:w="1120" w:type="dxa"/>
            <w:vAlign w:val="bottom"/>
          </w:tcPr>
          <w:p>
            <w:pPr>
              <w:jc w:val="center"/>
              <w:spacing w:after="0"/>
              <w:rPr>
                <w:rFonts w:ascii="Arial" w:cs="Arial" w:eastAsia="Arial" w:hAnsi="Arial"/>
                <w:sz w:val="18"/>
                <w:szCs w:val="18"/>
                <w:u w:val="single" w:color="auto"/>
                <w:color w:val="0000EE"/>
                <w:w w:val="79"/>
              </w:rPr>
            </w:pPr>
            <w:hyperlink w:anchor="page6">
              <w:r>
                <w:rPr>
                  <w:rFonts w:ascii="Arial" w:cs="Arial" w:eastAsia="Arial" w:hAnsi="Arial"/>
                  <w:sz w:val="18"/>
                  <w:szCs w:val="18"/>
                  <w:u w:val="single" w:color="auto"/>
                  <w:color w:val="0000EE"/>
                  <w:w w:val="79"/>
                </w:rPr>
                <w:t>4</w:t>
              </w:r>
            </w:hyperlink>
          </w:p>
        </w:tc>
        <w:tc>
          <w:tcPr>
            <w:tcW w:w="0" w:type="dxa"/>
            <w:vAlign w:val="bottom"/>
          </w:tcPr>
          <w:p>
            <w:pPr>
              <w:spacing w:after="0"/>
              <w:rPr>
                <w:sz w:val="1"/>
                <w:szCs w:val="1"/>
                <w:color w:val="auto"/>
              </w:rPr>
            </w:pPr>
          </w:p>
        </w:tc>
      </w:tr>
      <w:tr>
        <w:trPr>
          <w:trHeight w:val="270"/>
        </w:trPr>
        <w:tc>
          <w:tcPr>
            <w:tcW w:w="10080" w:type="dxa"/>
            <w:vAlign w:val="bottom"/>
          </w:tcPr>
          <w:p>
            <w:pPr>
              <w:ind w:left="3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Changes in Equity</w:t>
              </w:r>
            </w:hyperlink>
          </w:p>
        </w:tc>
        <w:tc>
          <w:tcPr>
            <w:tcW w:w="1120" w:type="dxa"/>
            <w:vAlign w:val="bottom"/>
          </w:tcPr>
          <w:p>
            <w:pPr>
              <w:jc w:val="center"/>
              <w:spacing w:after="0"/>
              <w:rPr>
                <w:rFonts w:ascii="Arial" w:cs="Arial" w:eastAsia="Arial" w:hAnsi="Arial"/>
                <w:sz w:val="18"/>
                <w:szCs w:val="18"/>
                <w:u w:val="single" w:color="auto"/>
                <w:color w:val="0000EE"/>
                <w:w w:val="79"/>
              </w:rPr>
            </w:pPr>
            <w:hyperlink w:anchor="page7">
              <w:r>
                <w:rPr>
                  <w:rFonts w:ascii="Arial" w:cs="Arial" w:eastAsia="Arial" w:hAnsi="Arial"/>
                  <w:sz w:val="18"/>
                  <w:szCs w:val="18"/>
                  <w:u w:val="single" w:color="auto"/>
                  <w:color w:val="0000EE"/>
                  <w:w w:val="79"/>
                </w:rPr>
                <w:t>5</w:t>
              </w:r>
            </w:hyperlink>
          </w:p>
        </w:tc>
        <w:tc>
          <w:tcPr>
            <w:tcW w:w="0" w:type="dxa"/>
            <w:vAlign w:val="bottom"/>
          </w:tcPr>
          <w:p>
            <w:pPr>
              <w:spacing w:after="0"/>
              <w:rPr>
                <w:sz w:val="1"/>
                <w:szCs w:val="1"/>
                <w:color w:val="auto"/>
              </w:rPr>
            </w:pPr>
          </w:p>
        </w:tc>
      </w:tr>
      <w:tr>
        <w:trPr>
          <w:trHeight w:val="270"/>
        </w:trPr>
        <w:tc>
          <w:tcPr>
            <w:tcW w:w="10080" w:type="dxa"/>
            <w:vAlign w:val="bottom"/>
          </w:tcPr>
          <w:p>
            <w:pPr>
              <w:ind w:left="3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w:t>
              </w:r>
            </w:hyperlink>
          </w:p>
        </w:tc>
        <w:tc>
          <w:tcPr>
            <w:tcW w:w="1120" w:type="dxa"/>
            <w:vAlign w:val="bottom"/>
          </w:tcPr>
          <w:p>
            <w:pPr>
              <w:jc w:val="center"/>
              <w:spacing w:after="0"/>
              <w:rPr>
                <w:rFonts w:ascii="Arial" w:cs="Arial" w:eastAsia="Arial" w:hAnsi="Arial"/>
                <w:sz w:val="18"/>
                <w:szCs w:val="18"/>
                <w:u w:val="single" w:color="auto"/>
                <w:color w:val="0000EE"/>
                <w:w w:val="79"/>
              </w:rPr>
            </w:pPr>
            <w:hyperlink w:anchor="page8">
              <w:r>
                <w:rPr>
                  <w:rFonts w:ascii="Arial" w:cs="Arial" w:eastAsia="Arial" w:hAnsi="Arial"/>
                  <w:sz w:val="18"/>
                  <w:szCs w:val="18"/>
                  <w:u w:val="single" w:color="auto"/>
                  <w:color w:val="0000EE"/>
                  <w:w w:val="79"/>
                </w:rPr>
                <w:t>6</w:t>
              </w:r>
            </w:hyperlink>
          </w:p>
        </w:tc>
        <w:tc>
          <w:tcPr>
            <w:tcW w:w="0" w:type="dxa"/>
            <w:vAlign w:val="bottom"/>
          </w:tcPr>
          <w:p>
            <w:pPr>
              <w:spacing w:after="0"/>
              <w:rPr>
                <w:sz w:val="1"/>
                <w:szCs w:val="1"/>
                <w:color w:val="auto"/>
              </w:rPr>
            </w:pPr>
          </w:p>
        </w:tc>
      </w:tr>
      <w:tr>
        <w:trPr>
          <w:trHeight w:val="270"/>
        </w:trPr>
        <w:tc>
          <w:tcPr>
            <w:tcW w:w="1008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2. Management’s Discussion and Analysis of Financial Condition and Results of Operations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19">
              <w:r>
                <w:rPr>
                  <w:rFonts w:ascii="Arial" w:cs="Arial" w:eastAsia="Arial" w:hAnsi="Arial"/>
                  <w:sz w:val="18"/>
                  <w:szCs w:val="18"/>
                  <w:u w:val="single" w:color="auto"/>
                  <w:color w:val="0000EE"/>
                  <w:w w:val="89"/>
                </w:rPr>
                <w:t>17</w:t>
              </w:r>
            </w:hyperlink>
          </w:p>
        </w:tc>
        <w:tc>
          <w:tcPr>
            <w:tcW w:w="0" w:type="dxa"/>
            <w:vAlign w:val="bottom"/>
          </w:tcPr>
          <w:p>
            <w:pPr>
              <w:spacing w:after="0"/>
              <w:rPr>
                <w:sz w:val="1"/>
                <w:szCs w:val="1"/>
                <w:color w:val="auto"/>
              </w:rPr>
            </w:pPr>
          </w:p>
        </w:tc>
      </w:tr>
      <w:tr>
        <w:trPr>
          <w:trHeight w:val="270"/>
        </w:trPr>
        <w:tc>
          <w:tcPr>
            <w:tcW w:w="1008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3. Quantitative and Qualitative Disclosures About Market Risk</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29</w:t>
              </w:r>
            </w:hyperlink>
          </w:p>
        </w:tc>
        <w:tc>
          <w:tcPr>
            <w:tcW w:w="0" w:type="dxa"/>
            <w:vAlign w:val="bottom"/>
          </w:tcPr>
          <w:p>
            <w:pPr>
              <w:spacing w:after="0"/>
              <w:rPr>
                <w:sz w:val="1"/>
                <w:szCs w:val="1"/>
                <w:color w:val="auto"/>
              </w:rPr>
            </w:pPr>
          </w:p>
        </w:tc>
      </w:tr>
      <w:tr>
        <w:trPr>
          <w:trHeight w:val="270"/>
        </w:trPr>
        <w:tc>
          <w:tcPr>
            <w:tcW w:w="1008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4. Controls and Procedures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29</w:t>
              </w:r>
            </w:hyperlink>
          </w:p>
        </w:tc>
        <w:tc>
          <w:tcPr>
            <w:tcW w:w="0" w:type="dxa"/>
            <w:vAlign w:val="bottom"/>
          </w:tcPr>
          <w:p>
            <w:pPr>
              <w:spacing w:after="0"/>
              <w:rPr>
                <w:sz w:val="1"/>
                <w:szCs w:val="1"/>
                <w:color w:val="auto"/>
              </w:rPr>
            </w:pPr>
          </w:p>
        </w:tc>
      </w:tr>
      <w:tr>
        <w:trPr>
          <w:trHeight w:val="270"/>
        </w:trPr>
        <w:tc>
          <w:tcPr>
            <w:tcW w:w="10080" w:type="dxa"/>
            <w:vAlign w:val="bottom"/>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Part II—Other Information</w:t>
              </w:r>
            </w:hyperlink>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08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1. Legal Proceedings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29</w:t>
              </w:r>
            </w:hyperlink>
          </w:p>
        </w:tc>
        <w:tc>
          <w:tcPr>
            <w:tcW w:w="0" w:type="dxa"/>
            <w:vAlign w:val="bottom"/>
          </w:tcPr>
          <w:p>
            <w:pPr>
              <w:spacing w:after="0"/>
              <w:rPr>
                <w:sz w:val="1"/>
                <w:szCs w:val="1"/>
                <w:color w:val="auto"/>
              </w:rPr>
            </w:pPr>
          </w:p>
        </w:tc>
      </w:tr>
      <w:tr>
        <w:trPr>
          <w:trHeight w:val="270"/>
        </w:trPr>
        <w:tc>
          <w:tcPr>
            <w:tcW w:w="1008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1A. Risk Factors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32">
              <w:r>
                <w:rPr>
                  <w:rFonts w:ascii="Arial" w:cs="Arial" w:eastAsia="Arial" w:hAnsi="Arial"/>
                  <w:sz w:val="18"/>
                  <w:szCs w:val="18"/>
                  <w:u w:val="single" w:color="auto"/>
                  <w:color w:val="0000EE"/>
                  <w:w w:val="89"/>
                </w:rPr>
                <w:t>30</w:t>
              </w:r>
            </w:hyperlink>
          </w:p>
        </w:tc>
        <w:tc>
          <w:tcPr>
            <w:tcW w:w="0" w:type="dxa"/>
            <w:vAlign w:val="bottom"/>
          </w:tcPr>
          <w:p>
            <w:pPr>
              <w:spacing w:after="0"/>
              <w:rPr>
                <w:sz w:val="1"/>
                <w:szCs w:val="1"/>
                <w:color w:val="auto"/>
              </w:rPr>
            </w:pPr>
          </w:p>
        </w:tc>
      </w:tr>
      <w:tr>
        <w:trPr>
          <w:trHeight w:val="270"/>
        </w:trPr>
        <w:tc>
          <w:tcPr>
            <w:tcW w:w="1008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2. Unregistered Sales of Equity Securities and Use of Proceeds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33">
              <w:r>
                <w:rPr>
                  <w:rFonts w:ascii="Arial" w:cs="Arial" w:eastAsia="Arial" w:hAnsi="Arial"/>
                  <w:sz w:val="18"/>
                  <w:szCs w:val="18"/>
                  <w:u w:val="single" w:color="auto"/>
                  <w:color w:val="0000EE"/>
                  <w:w w:val="89"/>
                </w:rPr>
                <w:t>31</w:t>
              </w:r>
            </w:hyperlink>
          </w:p>
        </w:tc>
        <w:tc>
          <w:tcPr>
            <w:tcW w:w="0" w:type="dxa"/>
            <w:vAlign w:val="bottom"/>
          </w:tcPr>
          <w:p>
            <w:pPr>
              <w:spacing w:after="0"/>
              <w:rPr>
                <w:sz w:val="1"/>
                <w:szCs w:val="1"/>
                <w:color w:val="auto"/>
              </w:rPr>
            </w:pPr>
          </w:p>
        </w:tc>
      </w:tr>
      <w:tr>
        <w:trPr>
          <w:trHeight w:val="270"/>
        </w:trPr>
        <w:tc>
          <w:tcPr>
            <w:tcW w:w="1008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3. Defaults Upon Senior Securities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34">
              <w:r>
                <w:rPr>
                  <w:rFonts w:ascii="Arial" w:cs="Arial" w:eastAsia="Arial" w:hAnsi="Arial"/>
                  <w:sz w:val="18"/>
                  <w:szCs w:val="18"/>
                  <w:u w:val="single" w:color="auto"/>
                  <w:color w:val="0000EE"/>
                  <w:w w:val="89"/>
                </w:rPr>
                <w:t>32</w:t>
              </w:r>
            </w:hyperlink>
          </w:p>
        </w:tc>
        <w:tc>
          <w:tcPr>
            <w:tcW w:w="0" w:type="dxa"/>
            <w:vAlign w:val="bottom"/>
          </w:tcPr>
          <w:p>
            <w:pPr>
              <w:spacing w:after="0"/>
              <w:rPr>
                <w:sz w:val="1"/>
                <w:szCs w:val="1"/>
                <w:color w:val="auto"/>
              </w:rPr>
            </w:pPr>
          </w:p>
        </w:tc>
      </w:tr>
      <w:tr>
        <w:trPr>
          <w:trHeight w:val="270"/>
        </w:trPr>
        <w:tc>
          <w:tcPr>
            <w:tcW w:w="1008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4. Mine Safety Disclosures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34">
              <w:r>
                <w:rPr>
                  <w:rFonts w:ascii="Arial" w:cs="Arial" w:eastAsia="Arial" w:hAnsi="Arial"/>
                  <w:sz w:val="18"/>
                  <w:szCs w:val="18"/>
                  <w:u w:val="single" w:color="auto"/>
                  <w:color w:val="0000EE"/>
                  <w:w w:val="89"/>
                </w:rPr>
                <w:t>32</w:t>
              </w:r>
            </w:hyperlink>
          </w:p>
        </w:tc>
        <w:tc>
          <w:tcPr>
            <w:tcW w:w="0" w:type="dxa"/>
            <w:vAlign w:val="bottom"/>
          </w:tcPr>
          <w:p>
            <w:pPr>
              <w:spacing w:after="0"/>
              <w:rPr>
                <w:sz w:val="1"/>
                <w:szCs w:val="1"/>
                <w:color w:val="auto"/>
              </w:rPr>
            </w:pPr>
          </w:p>
        </w:tc>
      </w:tr>
      <w:tr>
        <w:trPr>
          <w:trHeight w:val="270"/>
        </w:trPr>
        <w:tc>
          <w:tcPr>
            <w:tcW w:w="1008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5. Other Information</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34">
              <w:r>
                <w:rPr>
                  <w:rFonts w:ascii="Arial" w:cs="Arial" w:eastAsia="Arial" w:hAnsi="Arial"/>
                  <w:sz w:val="18"/>
                  <w:szCs w:val="18"/>
                  <w:u w:val="single" w:color="auto"/>
                  <w:color w:val="0000EE"/>
                  <w:w w:val="89"/>
                </w:rPr>
                <w:t>32</w:t>
              </w:r>
            </w:hyperlink>
          </w:p>
        </w:tc>
        <w:tc>
          <w:tcPr>
            <w:tcW w:w="0" w:type="dxa"/>
            <w:vAlign w:val="bottom"/>
          </w:tcPr>
          <w:p>
            <w:pPr>
              <w:spacing w:after="0"/>
              <w:rPr>
                <w:sz w:val="1"/>
                <w:szCs w:val="1"/>
                <w:color w:val="auto"/>
              </w:rPr>
            </w:pPr>
          </w:p>
        </w:tc>
      </w:tr>
      <w:tr>
        <w:trPr>
          <w:trHeight w:val="270"/>
        </w:trPr>
        <w:tc>
          <w:tcPr>
            <w:tcW w:w="1008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6. Exhibits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35">
              <w:r>
                <w:rPr>
                  <w:rFonts w:ascii="Arial" w:cs="Arial" w:eastAsia="Arial" w:hAnsi="Arial"/>
                  <w:sz w:val="18"/>
                  <w:szCs w:val="18"/>
                  <w:u w:val="single" w:color="auto"/>
                  <w:color w:val="0000EE"/>
                  <w:w w:val="89"/>
                </w:rPr>
                <w:t>33</w:t>
              </w:r>
            </w:hyperlink>
          </w:p>
        </w:tc>
        <w:tc>
          <w:tcPr>
            <w:tcW w:w="0" w:type="dxa"/>
            <w:vAlign w:val="bottom"/>
          </w:tcPr>
          <w:p>
            <w:pPr>
              <w:spacing w:after="0"/>
              <w:rPr>
                <w:sz w:val="1"/>
                <w:szCs w:val="1"/>
                <w:color w:val="auto"/>
              </w:rPr>
            </w:pPr>
          </w:p>
        </w:tc>
      </w:tr>
      <w:tr>
        <w:trPr>
          <w:trHeight w:val="270"/>
        </w:trPr>
        <w:tc>
          <w:tcPr>
            <w:tcW w:w="100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Signatures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36">
              <w:r>
                <w:rPr>
                  <w:rFonts w:ascii="Arial" w:cs="Arial" w:eastAsia="Arial" w:hAnsi="Arial"/>
                  <w:sz w:val="18"/>
                  <w:szCs w:val="18"/>
                  <w:u w:val="single" w:color="auto"/>
                  <w:color w:val="0000EE"/>
                  <w:w w:val="89"/>
                </w:rPr>
                <w:t>34</w:t>
              </w:r>
            </w:hyperlink>
          </w:p>
        </w:tc>
        <w:tc>
          <w:tcPr>
            <w:tcW w:w="0" w:type="dxa"/>
            <w:vAlign w:val="bottom"/>
          </w:tcPr>
          <w:p>
            <w:pPr>
              <w:spacing w:after="0"/>
              <w:rPr>
                <w:sz w:val="1"/>
                <w:szCs w:val="1"/>
                <w:color w:val="auto"/>
              </w:rPr>
            </w:pPr>
          </w:p>
        </w:tc>
      </w:tr>
    </w:tbl>
    <w:p>
      <w:pPr>
        <w:sectPr>
          <w:pgSz w:w="11900" w:h="16838" w:orient="portrait"/>
          <w:cols w:equalWidth="0" w:num="1">
            <w:col w:w="11200"/>
          </w:cols>
          <w:pgMar w:left="360" w:top="49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6"/>
                <w:szCs w:val="16"/>
                <w:color w:val="auto"/>
              </w:rPr>
            </w:pPr>
          </w:p>
        </w:tc>
        <w:tc>
          <w:tcPr>
            <w:tcW w:w="1160" w:type="dxa"/>
            <w:vAlign w:val="bottom"/>
          </w:tcPr>
          <w:p>
            <w:pPr>
              <w:jc w:val="right"/>
              <w:ind w:right="1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03"/>
        </w:trPr>
        <w:tc>
          <w:tcPr>
            <w:tcW w:w="832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12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73"/>
        </w:trPr>
        <w:tc>
          <w:tcPr>
            <w:tcW w:w="8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386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4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37"/>
        </w:trPr>
        <w:tc>
          <w:tcPr>
            <w:tcW w:w="8440" w:type="dxa"/>
            <w:vAlign w:val="bottom"/>
            <w:gridSpan w:val="2"/>
          </w:tcPr>
          <w:p>
            <w:pPr>
              <w:ind w:left="280"/>
              <w:spacing w:after="0"/>
              <w:rPr>
                <w:sz w:val="20"/>
                <w:szCs w:val="20"/>
                <w:color w:val="auto"/>
              </w:rPr>
            </w:pPr>
            <w:r>
              <w:rPr>
                <w:rFonts w:ascii="Arial" w:cs="Arial" w:eastAsia="Arial" w:hAnsi="Arial"/>
                <w:sz w:val="16"/>
                <w:szCs w:val="16"/>
                <w:color w:val="auto"/>
              </w:rPr>
              <w:t>Accounts receivable, net of allowances of $63 and $58, respectively</w:t>
            </w:r>
          </w:p>
        </w:tc>
        <w:tc>
          <w:tcPr>
            <w:tcW w:w="2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2,415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17"/>
        </w:trPr>
        <w:tc>
          <w:tcPr>
            <w:tcW w:w="8440" w:type="dxa"/>
            <w:vAlign w:val="bottom"/>
            <w:gridSpan w:val="2"/>
          </w:tcPr>
          <w:p>
            <w:pPr>
              <w:ind w:left="50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4,006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3,342</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Property and equipment, net of $2,138 and $2,054 in accumulated depreciation,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2,704</w:t>
            </w:r>
          </w:p>
        </w:tc>
        <w:tc>
          <w:tcPr>
            <w:tcW w:w="0" w:type="dxa"/>
            <w:vAlign w:val="bottom"/>
          </w:tcPr>
          <w:p>
            <w:pPr>
              <w:spacing w:after="0"/>
              <w:rPr>
                <w:sz w:val="1"/>
                <w:szCs w:val="1"/>
                <w:color w:val="auto"/>
              </w:rPr>
            </w:pPr>
          </w:p>
        </w:tc>
      </w:tr>
      <w:tr>
        <w:trPr>
          <w:trHeight w:val="237"/>
        </w:trPr>
        <w:tc>
          <w:tcPr>
            <w:tcW w:w="8440" w:type="dxa"/>
            <w:vAlign w:val="bottom"/>
            <w:gridSpan w:val="2"/>
          </w:tcPr>
          <w:p>
            <w:pPr>
              <w:ind w:left="280"/>
              <w:spacing w:after="0"/>
              <w:rPr>
                <w:sz w:val="20"/>
                <w:szCs w:val="20"/>
                <w:color w:val="auto"/>
              </w:rPr>
            </w:pPr>
            <w:r>
              <w:rPr>
                <w:rFonts w:ascii="Arial" w:cs="Arial" w:eastAsia="Arial" w:hAnsi="Arial"/>
                <w:sz w:val="16"/>
                <w:szCs w:val="16"/>
                <w:color w:val="auto"/>
              </w:rPr>
              <w:t>Operating lease assets</w:t>
            </w:r>
          </w:p>
        </w:tc>
        <w:tc>
          <w:tcPr>
            <w:tcW w:w="2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2,143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2,245</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4,450</w:t>
            </w:r>
          </w:p>
        </w:tc>
        <w:tc>
          <w:tcPr>
            <w:tcW w:w="0" w:type="dxa"/>
            <w:vAlign w:val="bottom"/>
          </w:tcPr>
          <w:p>
            <w:pPr>
              <w:spacing w:after="0"/>
              <w:rPr>
                <w:sz w:val="1"/>
                <w:szCs w:val="1"/>
                <w:color w:val="auto"/>
              </w:rPr>
            </w:pPr>
          </w:p>
        </w:tc>
      </w:tr>
      <w:tr>
        <w:trPr>
          <w:trHeight w:val="237"/>
        </w:trPr>
        <w:tc>
          <w:tcPr>
            <w:tcW w:w="8440" w:type="dxa"/>
            <w:vAlign w:val="bottom"/>
            <w:gridSpan w:val="2"/>
          </w:tcPr>
          <w:p>
            <w:pPr>
              <w:ind w:left="280"/>
              <w:spacing w:after="0"/>
              <w:rPr>
                <w:sz w:val="20"/>
                <w:szCs w:val="20"/>
                <w:color w:val="auto"/>
              </w:rPr>
            </w:pPr>
            <w:r>
              <w:rPr>
                <w:rFonts w:ascii="Arial" w:cs="Arial" w:eastAsia="Arial" w:hAnsi="Arial"/>
                <w:sz w:val="16"/>
                <w:szCs w:val="16"/>
                <w:color w:val="auto"/>
              </w:rPr>
              <w:t>Identifiable intangible assets, net of $825 and $850 in accumulated amortization, respectively</w:t>
            </w:r>
          </w:p>
        </w:tc>
        <w:tc>
          <w:tcPr>
            <w:tcW w:w="2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7"/>
        </w:trPr>
        <w:tc>
          <w:tcPr>
            <w:tcW w:w="8440" w:type="dxa"/>
            <w:vAlign w:val="bottom"/>
            <w:gridSpan w:val="2"/>
          </w:tcPr>
          <w:p>
            <w:pPr>
              <w:ind w:left="500"/>
              <w:spacing w:after="0"/>
              <w:rPr>
                <w:sz w:val="20"/>
                <w:szCs w:val="20"/>
                <w:color w:val="auto"/>
              </w:rPr>
            </w:pPr>
            <w:r>
              <w:rPr>
                <w:rFonts w:ascii="Arial" w:cs="Arial" w:eastAsia="Arial" w:hAnsi="Arial"/>
                <w:sz w:val="16"/>
                <w:szCs w:val="16"/>
                <w:b w:val="1"/>
                <w:bCs w:val="1"/>
                <w:color w:val="auto"/>
              </w:rPr>
              <w:t>Total long-term assets</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10,556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10,786</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14,562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14,128</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ind w:left="240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40" w:type="dxa"/>
            <w:vAlign w:val="bottom"/>
            <w:gridSpan w:val="2"/>
          </w:tcPr>
          <w:p>
            <w:pPr>
              <w:ind w:left="28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1,057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1,157</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1,414</w:t>
            </w:r>
          </w:p>
        </w:tc>
        <w:tc>
          <w:tcPr>
            <w:tcW w:w="0" w:type="dxa"/>
            <w:vAlign w:val="bottom"/>
          </w:tcPr>
          <w:p>
            <w:pPr>
              <w:spacing w:after="0"/>
              <w:rPr>
                <w:sz w:val="1"/>
                <w:szCs w:val="1"/>
                <w:color w:val="auto"/>
              </w:rPr>
            </w:pPr>
          </w:p>
        </w:tc>
      </w:tr>
      <w:tr>
        <w:trPr>
          <w:trHeight w:val="237"/>
        </w:trPr>
        <w:tc>
          <w:tcPr>
            <w:tcW w:w="8440" w:type="dxa"/>
            <w:vAlign w:val="bottom"/>
            <w:gridSpan w:val="2"/>
          </w:tcPr>
          <w:p>
            <w:pPr>
              <w:ind w:left="280"/>
              <w:spacing w:after="0"/>
              <w:rPr>
                <w:sz w:val="20"/>
                <w:szCs w:val="20"/>
                <w:color w:val="auto"/>
              </w:rPr>
            </w:pPr>
            <w:r>
              <w:rPr>
                <w:rFonts w:ascii="Arial" w:cs="Arial" w:eastAsia="Arial" w:hAnsi="Arial"/>
                <w:sz w:val="16"/>
                <w:szCs w:val="16"/>
                <w:color w:val="auto"/>
              </w:rPr>
              <w:t>Short-term borrowings and current maturities of long-term debt</w:t>
            </w:r>
          </w:p>
        </w:tc>
        <w:tc>
          <w:tcPr>
            <w:tcW w:w="2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Short-term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37"/>
        </w:trPr>
        <w:tc>
          <w:tcPr>
            <w:tcW w:w="8440" w:type="dxa"/>
            <w:vAlign w:val="bottom"/>
            <w:gridSpan w:val="2"/>
          </w:tcPr>
          <w:p>
            <w:pPr>
              <w:ind w:left="28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3,258</w:t>
            </w:r>
          </w:p>
        </w:tc>
        <w:tc>
          <w:tcPr>
            <w:tcW w:w="0" w:type="dxa"/>
            <w:vAlign w:val="bottom"/>
          </w:tcPr>
          <w:p>
            <w:pPr>
              <w:spacing w:after="0"/>
              <w:rPr>
                <w:sz w:val="1"/>
                <w:szCs w:val="1"/>
                <w:color w:val="auto"/>
              </w:rPr>
            </w:pPr>
          </w:p>
        </w:tc>
      </w:tr>
      <w:tr>
        <w:trPr>
          <w:trHeight w:val="217"/>
        </w:trPr>
        <w:tc>
          <w:tcPr>
            <w:tcW w:w="8440" w:type="dxa"/>
            <w:vAlign w:val="bottom"/>
            <w:gridSpan w:val="2"/>
          </w:tcPr>
          <w:p>
            <w:pPr>
              <w:ind w:left="280"/>
              <w:spacing w:after="0"/>
              <w:rPr>
                <w:sz w:val="20"/>
                <w:szCs w:val="20"/>
                <w:color w:val="auto"/>
              </w:rPr>
            </w:pPr>
            <w:r>
              <w:rPr>
                <w:rFonts w:ascii="Arial" w:cs="Arial" w:eastAsia="Arial" w:hAnsi="Arial"/>
                <w:sz w:val="16"/>
                <w:szCs w:val="16"/>
                <w:color w:val="auto"/>
              </w:rPr>
              <w:t>Long-term debt</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5,766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5,182</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Deferred tax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37"/>
        </w:trPr>
        <w:tc>
          <w:tcPr>
            <w:tcW w:w="8440" w:type="dxa"/>
            <w:vAlign w:val="bottom"/>
            <w:gridSpan w:val="2"/>
          </w:tcPr>
          <w:p>
            <w:pPr>
              <w:ind w:left="280"/>
              <w:spacing w:after="0"/>
              <w:rPr>
                <w:sz w:val="20"/>
                <w:szCs w:val="20"/>
                <w:color w:val="auto"/>
              </w:rPr>
            </w:pPr>
            <w:r>
              <w:rPr>
                <w:rFonts w:ascii="Arial" w:cs="Arial" w:eastAsia="Arial" w:hAnsi="Arial"/>
                <w:sz w:val="16"/>
                <w:szCs w:val="16"/>
                <w:color w:val="auto"/>
              </w:rPr>
              <w:t>Employee benefit obligations</w:t>
            </w:r>
          </w:p>
        </w:tc>
        <w:tc>
          <w:tcPr>
            <w:tcW w:w="2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1,776</w:t>
            </w:r>
          </w:p>
        </w:tc>
        <w:tc>
          <w:tcPr>
            <w:tcW w:w="0" w:type="dxa"/>
            <w:vAlign w:val="bottom"/>
          </w:tcPr>
          <w:p>
            <w:pPr>
              <w:spacing w:after="0"/>
              <w:rPr>
                <w:sz w:val="1"/>
                <w:szCs w:val="1"/>
                <w:color w:val="auto"/>
              </w:rPr>
            </w:pPr>
          </w:p>
        </w:tc>
      </w:tr>
      <w:tr>
        <w:trPr>
          <w:trHeight w:val="237"/>
        </w:trPr>
        <w:tc>
          <w:tcPr>
            <w:tcW w:w="8440" w:type="dxa"/>
            <w:vAlign w:val="bottom"/>
            <w:gridSpan w:val="2"/>
          </w:tcPr>
          <w:p>
            <w:pPr>
              <w:ind w:left="28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b w:val="1"/>
                <w:bCs w:val="1"/>
                <w:color w:val="auto"/>
              </w:rPr>
              <w:t>Total long-term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7,974</w:t>
            </w:r>
          </w:p>
        </w:tc>
        <w:tc>
          <w:tcPr>
            <w:tcW w:w="0" w:type="dxa"/>
            <w:vAlign w:val="bottom"/>
          </w:tcPr>
          <w:p>
            <w:pPr>
              <w:spacing w:after="0"/>
              <w:rPr>
                <w:sz w:val="1"/>
                <w:szCs w:val="1"/>
                <w:color w:val="auto"/>
              </w:rPr>
            </w:pPr>
          </w:p>
        </w:tc>
      </w:tr>
      <w:tr>
        <w:trPr>
          <w:trHeight w:val="230"/>
        </w:trPr>
        <w:tc>
          <w:tcPr>
            <w:tcW w:w="8440" w:type="dxa"/>
            <w:vAlign w:val="bottom"/>
            <w:gridSpan w:val="2"/>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4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Convertible perpetual preferred stock, $0.001 par value; 10 shares authorized; 0.07 of Series A shares issued and</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outstanding as of March 31, 2020 and December 31, 2019, respectively</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20"/>
        </w:trPr>
        <w:tc>
          <w:tcPr>
            <w:tcW w:w="8440" w:type="dxa"/>
            <w:vAlign w:val="bottom"/>
            <w:gridSpan w:val="2"/>
          </w:tcPr>
          <w:p>
            <w:pPr>
              <w:ind w:left="280"/>
              <w:spacing w:after="0"/>
              <w:rPr>
                <w:sz w:val="20"/>
                <w:szCs w:val="20"/>
                <w:color w:val="auto"/>
              </w:rPr>
            </w:pPr>
            <w:r>
              <w:rPr>
                <w:rFonts w:ascii="Arial" w:cs="Arial" w:eastAsia="Arial" w:hAnsi="Arial"/>
                <w:sz w:val="16"/>
                <w:szCs w:val="16"/>
                <w:color w:val="auto"/>
                <w:w w:val="94"/>
              </w:rPr>
              <w:t>Common stock, $0.001 par value; 300 shares authorized; 91 and 92 shares issued and outstanding as of March 31, 2020</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440" w:type="dxa"/>
            <w:vAlign w:val="bottom"/>
            <w:gridSpan w:val="2"/>
          </w:tcPr>
          <w:p>
            <w:pPr>
              <w:ind w:left="440"/>
              <w:spacing w:after="0"/>
              <w:rPr>
                <w:sz w:val="20"/>
                <w:szCs w:val="20"/>
                <w:color w:val="auto"/>
              </w:rPr>
            </w:pPr>
            <w:r>
              <w:rPr>
                <w:rFonts w:ascii="Arial" w:cs="Arial" w:eastAsia="Arial" w:hAnsi="Arial"/>
                <w:sz w:val="16"/>
                <w:szCs w:val="16"/>
                <w:color w:val="auto"/>
              </w:rPr>
              <w:t>and December 31, 2019, respectively</w:t>
            </w: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2,061</w:t>
            </w:r>
          </w:p>
        </w:tc>
        <w:tc>
          <w:tcPr>
            <w:tcW w:w="0" w:type="dxa"/>
            <w:vAlign w:val="bottom"/>
          </w:tcPr>
          <w:p>
            <w:pPr>
              <w:spacing w:after="0"/>
              <w:rPr>
                <w:sz w:val="1"/>
                <w:szCs w:val="1"/>
                <w:color w:val="auto"/>
              </w:rPr>
            </w:pPr>
          </w:p>
        </w:tc>
      </w:tr>
      <w:tr>
        <w:trPr>
          <w:trHeight w:val="237"/>
        </w:trPr>
        <w:tc>
          <w:tcPr>
            <w:tcW w:w="8440" w:type="dxa"/>
            <w:vAlign w:val="bottom"/>
            <w:gridSpan w:val="2"/>
          </w:tcPr>
          <w:p>
            <w:pPr>
              <w:ind w:left="2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7"/>
        </w:trPr>
        <w:tc>
          <w:tcPr>
            <w:tcW w:w="8440" w:type="dxa"/>
            <w:vAlign w:val="bottom"/>
            <w:gridSpan w:val="2"/>
          </w:tcPr>
          <w:p>
            <w:pPr>
              <w:ind w:left="500"/>
              <w:spacing w:after="0"/>
              <w:rPr>
                <w:sz w:val="20"/>
                <w:szCs w:val="20"/>
                <w:color w:val="auto"/>
              </w:rPr>
            </w:pPr>
            <w:r>
              <w:rPr>
                <w:rFonts w:ascii="Arial" w:cs="Arial" w:eastAsia="Arial" w:hAnsi="Arial"/>
                <w:sz w:val="16"/>
                <w:szCs w:val="16"/>
                <w:b w:val="1"/>
                <w:bCs w:val="1"/>
                <w:color w:val="auto"/>
              </w:rPr>
              <w:t>Total stockholders’ equity before noncontrolling interests</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2,578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2,743</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7"/>
        </w:trPr>
        <w:tc>
          <w:tcPr>
            <w:tcW w:w="8440" w:type="dxa"/>
            <w:vAlign w:val="bottom"/>
            <w:gridSpan w:val="2"/>
          </w:tcPr>
          <w:p>
            <w:pPr>
              <w:ind w:left="50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2,728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2,896</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14,562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14,128</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229" w:right="3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4,120</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Cost of transportation and services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2,096</w:t>
            </w:r>
          </w:p>
        </w:tc>
      </w:tr>
      <w:tr>
        <w:trPr>
          <w:trHeight w:val="243"/>
        </w:trPr>
        <w:tc>
          <w:tcPr>
            <w:tcW w:w="8220" w:type="dxa"/>
            <w:vAlign w:val="bottom"/>
            <w:gridSpan w:val="2"/>
          </w:tcPr>
          <w:p>
            <w:pPr>
              <w:ind w:left="280"/>
              <w:spacing w:after="0"/>
              <w:rPr>
                <w:sz w:val="20"/>
                <w:szCs w:val="20"/>
                <w:color w:val="auto"/>
              </w:rPr>
            </w:pPr>
            <w:r>
              <w:rPr>
                <w:rFonts w:ascii="Arial" w:cs="Arial" w:eastAsia="Arial" w:hAnsi="Arial"/>
                <w:sz w:val="18"/>
                <w:szCs w:val="18"/>
                <w:color w:val="auto"/>
              </w:rPr>
              <w:t>Direct operating expense</w:t>
            </w: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1,406</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general and administrative expense</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w:t>
            </w:r>
          </w:p>
        </w:tc>
      </w:tr>
      <w:tr>
        <w:trPr>
          <w:trHeight w:val="237"/>
        </w:trPr>
        <w:tc>
          <w:tcPr>
            <w:tcW w:w="8220" w:type="dxa"/>
            <w:vAlign w:val="bottom"/>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3,988</w:t>
            </w: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r>
      <w:tr>
        <w:trPr>
          <w:trHeight w:val="237"/>
        </w:trPr>
        <w:tc>
          <w:tcPr>
            <w:tcW w:w="8220" w:type="dxa"/>
            <w:vAlign w:val="bottom"/>
            <w:gridSpan w:val="2"/>
          </w:tcPr>
          <w:p>
            <w:pPr>
              <w:ind w:left="280"/>
              <w:spacing w:after="0"/>
              <w:rPr>
                <w:sz w:val="20"/>
                <w:szCs w:val="20"/>
                <w:color w:val="auto"/>
              </w:rPr>
            </w:pPr>
            <w:r>
              <w:rPr>
                <w:rFonts w:ascii="Arial" w:cs="Arial" w:eastAsia="Arial" w:hAnsi="Arial"/>
                <w:sz w:val="18"/>
                <w:szCs w:val="18"/>
                <w:color w:val="auto"/>
              </w:rPr>
              <w:t>Other expense (income)</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(gain) loss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8220" w:type="dxa"/>
            <w:vAlign w:val="bottom"/>
            <w:gridSpan w:val="2"/>
          </w:tcPr>
          <w:p>
            <w:pPr>
              <w:ind w:left="280"/>
              <w:spacing w:after="0"/>
              <w:rPr>
                <w:sz w:val="20"/>
                <w:szCs w:val="20"/>
                <w:color w:val="auto"/>
              </w:rPr>
            </w:pPr>
            <w:r>
              <w:rPr>
                <w:rFonts w:ascii="Arial" w:cs="Arial" w:eastAsia="Arial" w:hAnsi="Arial"/>
                <w:sz w:val="18"/>
                <w:szCs w:val="18"/>
                <w:color w:val="auto"/>
              </w:rPr>
              <w:t>Debt extinguishment loss</w:t>
            </w:r>
          </w:p>
        </w:tc>
        <w:tc>
          <w:tcPr>
            <w:tcW w:w="3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37"/>
        </w:trPr>
        <w:tc>
          <w:tcPr>
            <w:tcW w:w="822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before income tax provision</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37"/>
        </w:trPr>
        <w:tc>
          <w:tcPr>
            <w:tcW w:w="82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97"/>
        </w:trPr>
        <w:tc>
          <w:tcPr>
            <w:tcW w:w="82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Net income attributable to XPO</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w:t>
            </w:r>
          </w:p>
        </w:tc>
      </w:tr>
      <w:tr>
        <w:trPr>
          <w:trHeight w:val="284"/>
        </w:trPr>
        <w:tc>
          <w:tcPr>
            <w:tcW w:w="8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 per share data:</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 attributable to common shareholders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r>
      <w:tr>
        <w:trPr>
          <w:trHeight w:val="297"/>
        </w:trPr>
        <w:tc>
          <w:tcPr>
            <w:tcW w:w="8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 earnings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0.40</w:t>
            </w:r>
          </w:p>
        </w:tc>
      </w:tr>
      <w:tr>
        <w:trPr>
          <w:trHeight w:val="243"/>
        </w:trPr>
        <w:tc>
          <w:tcPr>
            <w:tcW w:w="8220" w:type="dxa"/>
            <w:vAlign w:val="bottom"/>
            <w:gridSpan w:val="2"/>
          </w:tcPr>
          <w:p>
            <w:pPr>
              <w:ind w:left="280"/>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0.37</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8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b w:val="1"/>
                <w:bCs w:val="1"/>
                <w:color w:val="auto"/>
              </w:rPr>
              <w:t>Weighted-average common shares outstanding</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 weighted-average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r>
      <w:tr>
        <w:trPr>
          <w:trHeight w:val="243"/>
        </w:trPr>
        <w:tc>
          <w:tcPr>
            <w:tcW w:w="8220" w:type="dxa"/>
            <w:vAlign w:val="bottom"/>
            <w:gridSpan w:val="2"/>
          </w:tcPr>
          <w:p>
            <w:pPr>
              <w:ind w:left="280"/>
              <w:spacing w:after="0"/>
              <w:rPr>
                <w:sz w:val="20"/>
                <w:szCs w:val="20"/>
                <w:color w:val="auto"/>
              </w:rPr>
            </w:pPr>
            <w:r>
              <w:rPr>
                <w:rFonts w:ascii="Arial" w:cs="Arial" w:eastAsia="Arial" w:hAnsi="Arial"/>
                <w:sz w:val="18"/>
                <w:szCs w:val="18"/>
                <w:color w:val="auto"/>
              </w:rPr>
              <w:t>Diluted weighted-average common shares outstanding</w:t>
            </w: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117</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2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jc w:val="right"/>
              <w:spacing w:after="0"/>
              <w:rPr>
                <w:sz w:val="20"/>
                <w:szCs w:val="20"/>
                <w:color w:val="auto"/>
              </w:rPr>
            </w:pPr>
            <w:r>
              <w:rPr>
                <w:rFonts w:ascii="Arial" w:cs="Arial" w:eastAsia="Arial" w:hAnsi="Arial"/>
                <w:sz w:val="14"/>
                <w:szCs w:val="14"/>
                <w:b w:val="1"/>
                <w:bCs w:val="1"/>
                <w:color w:val="auto"/>
                <w:w w:val="99"/>
              </w:rPr>
              <w:t>Three Months Ended March</w:t>
            </w:r>
          </w:p>
        </w:tc>
      </w:tr>
      <w:tr>
        <w:trPr>
          <w:trHeight w:val="192"/>
        </w:trPr>
        <w:tc>
          <w:tcPr>
            <w:tcW w:w="9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92"/>
              </w:rPr>
              <w:t>31,</w:t>
            </w:r>
          </w:p>
        </w:tc>
        <w:tc>
          <w:tcPr>
            <w:tcW w:w="680" w:type="dxa"/>
            <w:vAlign w:val="bottom"/>
            <w:tcBorders>
              <w:bottom w:val="single" w:sz="8" w:color="auto"/>
            </w:tcBorders>
          </w:tcPr>
          <w:p>
            <w:pPr>
              <w:spacing w:after="0"/>
              <w:rPr>
                <w:sz w:val="16"/>
                <w:szCs w:val="16"/>
                <w:color w:val="auto"/>
              </w:rPr>
            </w:pPr>
          </w:p>
        </w:tc>
      </w:tr>
      <w:tr>
        <w:trPr>
          <w:trHeight w:val="264"/>
        </w:trPr>
        <w:tc>
          <w:tcPr>
            <w:tcW w:w="92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r>
      <w:tr>
        <w:trPr>
          <w:trHeight w:val="249"/>
        </w:trPr>
        <w:tc>
          <w:tcPr>
            <w:tcW w:w="9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r>
      <w:tr>
        <w:trPr>
          <w:trHeight w:val="283"/>
        </w:trPr>
        <w:tc>
          <w:tcPr>
            <w:tcW w:w="9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0"/>
        </w:trPr>
        <w:tc>
          <w:tcPr>
            <w:tcW w:w="9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9340" w:type="dxa"/>
            <w:vAlign w:val="bottom"/>
            <w:gridSpan w:val="2"/>
          </w:tcPr>
          <w:p>
            <w:pPr>
              <w:ind w:left="280"/>
              <w:spacing w:after="0"/>
              <w:rPr>
                <w:sz w:val="20"/>
                <w:szCs w:val="20"/>
                <w:color w:val="auto"/>
              </w:rPr>
            </w:pPr>
            <w:r>
              <w:rPr>
                <w:rFonts w:ascii="Arial" w:cs="Arial" w:eastAsia="Arial" w:hAnsi="Arial"/>
                <w:sz w:val="18"/>
                <w:szCs w:val="18"/>
                <w:color w:val="auto"/>
              </w:rPr>
              <w:t>Foreign currency translation loss, net of tax effect of $(11) and $(6)</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w:t>
            </w: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9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loss on financial assets/liabilities designated as hedging instruments, net of tax effect of $— and $1</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9340" w:type="dxa"/>
            <w:vAlign w:val="bottom"/>
            <w:gridSpan w:val="2"/>
          </w:tcPr>
          <w:p>
            <w:pPr>
              <w:ind w:left="280"/>
              <w:spacing w:after="0"/>
              <w:rPr>
                <w:sz w:val="20"/>
                <w:szCs w:val="20"/>
                <w:color w:val="auto"/>
              </w:rPr>
            </w:pPr>
            <w:r>
              <w:rPr>
                <w:rFonts w:ascii="Arial" w:cs="Arial" w:eastAsia="Arial" w:hAnsi="Arial"/>
                <w:sz w:val="18"/>
                <w:szCs w:val="18"/>
                <w:color w:val="auto"/>
              </w:rPr>
              <w:t>Defined benefit plans adjustments, net of tax effect of $2 and $—</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9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3"/>
        </w:trPr>
        <w:tc>
          <w:tcPr>
            <w:tcW w:w="9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934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Comprehensive (loss) income</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w:t>
            </w:r>
          </w:p>
        </w:tc>
      </w:tr>
      <w:tr>
        <w:trPr>
          <w:trHeight w:val="27"/>
        </w:trPr>
        <w:tc>
          <w:tcPr>
            <w:tcW w:w="9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9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934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Comprehensive (loss) income attributable to XPO</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w:t>
            </w:r>
          </w:p>
        </w:tc>
      </w:tr>
      <w:tr>
        <w:trPr>
          <w:trHeight w:val="20"/>
        </w:trPr>
        <w:tc>
          <w:tcPr>
            <w:tcW w:w="9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2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net cash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380"/>
              <w:spacing w:after="0"/>
              <w:rPr>
                <w:sz w:val="20"/>
                <w:szCs w:val="20"/>
                <w:color w:val="auto"/>
              </w:rPr>
            </w:pPr>
            <w:r>
              <w:rPr>
                <w:rFonts w:ascii="Arial" w:cs="Arial" w:eastAsia="Arial" w:hAnsi="Arial"/>
                <w:sz w:val="18"/>
                <w:szCs w:val="18"/>
                <w:color w:val="auto"/>
              </w:rPr>
              <w:t>Depreciation, amortization and net lease activity</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440" w:type="dxa"/>
            <w:vAlign w:val="bottom"/>
            <w:gridSpan w:val="2"/>
          </w:tcPr>
          <w:p>
            <w:pPr>
              <w:ind w:left="380"/>
              <w:spacing w:after="0"/>
              <w:rPr>
                <w:sz w:val="20"/>
                <w:szCs w:val="20"/>
                <w:color w:val="auto"/>
              </w:rPr>
            </w:pPr>
            <w:r>
              <w:rPr>
                <w:rFonts w:ascii="Arial" w:cs="Arial" w:eastAsia="Arial" w:hAnsi="Arial"/>
                <w:sz w:val="18"/>
                <w:szCs w:val="18"/>
                <w:color w:val="auto"/>
              </w:rPr>
              <w:t>Accretion of debt</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tax benefit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8440" w:type="dxa"/>
            <w:vAlign w:val="bottom"/>
            <w:gridSpan w:val="2"/>
          </w:tcPr>
          <w:p>
            <w:pPr>
              <w:ind w:left="380"/>
              <w:spacing w:after="0"/>
              <w:rPr>
                <w:sz w:val="20"/>
                <w:szCs w:val="20"/>
                <w:color w:val="auto"/>
              </w:rPr>
            </w:pPr>
            <w:r>
              <w:rPr>
                <w:rFonts w:ascii="Arial" w:cs="Arial" w:eastAsia="Arial" w:hAnsi="Arial"/>
                <w:sz w:val="18"/>
                <w:szCs w:val="18"/>
                <w:color w:val="auto"/>
              </w:rPr>
              <w:t>Debt extinguishment loss</w:t>
            </w:r>
          </w:p>
        </w:tc>
        <w:tc>
          <w:tcPr>
            <w:tcW w:w="2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Unrealized (gain) loss on foreign currency option and forward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440" w:type="dxa"/>
            <w:vAlign w:val="bottom"/>
            <w:gridSpan w:val="2"/>
          </w:tcPr>
          <w:p>
            <w:pPr>
              <w:ind w:left="380"/>
              <w:spacing w:after="0"/>
              <w:rPr>
                <w:sz w:val="20"/>
                <w:szCs w:val="20"/>
                <w:color w:val="auto"/>
              </w:rPr>
            </w:pPr>
            <w:r>
              <w:rPr>
                <w:rFonts w:ascii="Arial" w:cs="Arial" w:eastAsia="Arial" w:hAnsi="Arial"/>
                <w:sz w:val="18"/>
                <w:szCs w:val="18"/>
                <w:color w:val="auto"/>
              </w:rPr>
              <w:t>Gains on sales of property and equipment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Changes in assets and liabilities: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3"/>
        </w:trPr>
        <w:tc>
          <w:tcPr>
            <w:tcW w:w="8440" w:type="dxa"/>
            <w:vAlign w:val="bottom"/>
            <w:gridSpan w:val="2"/>
          </w:tcPr>
          <w:p>
            <w:pPr>
              <w:ind w:left="38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8440" w:type="dxa"/>
            <w:vAlign w:val="bottom"/>
            <w:gridSpan w:val="2"/>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7"/>
        </w:trPr>
        <w:tc>
          <w:tcPr>
            <w:tcW w:w="844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Payment for purchases of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8440" w:type="dxa"/>
            <w:vAlign w:val="bottom"/>
            <w:gridSpan w:val="2"/>
          </w:tcPr>
          <w:p>
            <w:pPr>
              <w:ind w:left="380"/>
              <w:spacing w:after="0"/>
              <w:rPr>
                <w:sz w:val="20"/>
                <w:szCs w:val="20"/>
                <w:color w:val="auto"/>
              </w:rPr>
            </w:pPr>
            <w:r>
              <w:rPr>
                <w:rFonts w:ascii="Arial" w:cs="Arial" w:eastAsia="Arial" w:hAnsi="Arial"/>
                <w:sz w:val="18"/>
                <w:szCs w:val="18"/>
                <w:color w:val="auto"/>
              </w:rPr>
              <w:t>Proceeds from sale of property and equipment</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collected on deferred purchase price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844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44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Proceeds from borrowings related to securitization program</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gridSpan w:val="2"/>
          </w:tcPr>
          <w:p>
            <w:pPr>
              <w:ind w:left="380"/>
              <w:spacing w:after="0"/>
              <w:rPr>
                <w:sz w:val="20"/>
                <w:szCs w:val="20"/>
                <w:color w:val="auto"/>
              </w:rPr>
            </w:pPr>
            <w:r>
              <w:rPr>
                <w:rFonts w:ascii="Arial" w:cs="Arial" w:eastAsia="Arial" w:hAnsi="Arial"/>
                <w:sz w:val="18"/>
                <w:szCs w:val="18"/>
                <w:color w:val="auto"/>
              </w:rPr>
              <w:t>Proceeds from issuance of debt</w:t>
            </w:r>
          </w:p>
        </w:tc>
        <w:tc>
          <w:tcPr>
            <w:tcW w:w="2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Proceeds from borrowings on ABL facility</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43"/>
        </w:trPr>
        <w:tc>
          <w:tcPr>
            <w:tcW w:w="8440" w:type="dxa"/>
            <w:vAlign w:val="bottom"/>
            <w:gridSpan w:val="2"/>
          </w:tcPr>
          <w:p>
            <w:pPr>
              <w:ind w:left="380"/>
              <w:spacing w:after="0"/>
              <w:rPr>
                <w:sz w:val="20"/>
                <w:szCs w:val="20"/>
                <w:color w:val="auto"/>
              </w:rPr>
            </w:pPr>
            <w:r>
              <w:rPr>
                <w:rFonts w:ascii="Arial" w:cs="Arial" w:eastAsia="Arial" w:hAnsi="Arial"/>
                <w:sz w:val="18"/>
                <w:szCs w:val="18"/>
                <w:color w:val="auto"/>
              </w:rPr>
              <w:t>Repayment of borrowings on ABL facility</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Repayment of debt and finance leases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43"/>
        </w:trPr>
        <w:tc>
          <w:tcPr>
            <w:tcW w:w="8440" w:type="dxa"/>
            <w:vAlign w:val="bottom"/>
            <w:gridSpan w:val="2"/>
          </w:tcPr>
          <w:p>
            <w:pPr>
              <w:ind w:left="380"/>
              <w:spacing w:after="0"/>
              <w:rPr>
                <w:sz w:val="20"/>
                <w:szCs w:val="20"/>
                <w:color w:val="auto"/>
              </w:rPr>
            </w:pPr>
            <w:r>
              <w:rPr>
                <w:rFonts w:ascii="Arial" w:cs="Arial" w:eastAsia="Arial" w:hAnsi="Arial"/>
                <w:sz w:val="18"/>
                <w:szCs w:val="18"/>
                <w:color w:val="auto"/>
              </w:rPr>
              <w:t>Payment for debt issuance costs</w:t>
            </w:r>
          </w:p>
        </w:tc>
        <w:tc>
          <w:tcPr>
            <w:tcW w:w="2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43"/>
        </w:trPr>
        <w:tc>
          <w:tcPr>
            <w:tcW w:w="8440" w:type="dxa"/>
            <w:vAlign w:val="bottom"/>
            <w:gridSpan w:val="2"/>
          </w:tcPr>
          <w:p>
            <w:pPr>
              <w:ind w:left="380"/>
              <w:spacing w:after="0"/>
              <w:rPr>
                <w:sz w:val="20"/>
                <w:szCs w:val="20"/>
                <w:color w:val="auto"/>
              </w:rPr>
            </w:pPr>
            <w:r>
              <w:rPr>
                <w:rFonts w:ascii="Arial" w:cs="Arial" w:eastAsia="Arial" w:hAnsi="Arial"/>
                <w:sz w:val="18"/>
                <w:szCs w:val="18"/>
                <w:color w:val="auto"/>
              </w:rPr>
              <w:t>Change in bank overdrafts</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Payment for tax withholdings for restricted shares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44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6"/>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8440" w:type="dxa"/>
            <w:vAlign w:val="bottom"/>
            <w:gridSpan w:val="2"/>
          </w:tcPr>
          <w:p>
            <w:pPr>
              <w:ind w:left="380"/>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paid for interest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8440" w:type="dxa"/>
            <w:vAlign w:val="bottom"/>
            <w:gridSpan w:val="2"/>
          </w:tcPr>
          <w:p>
            <w:pPr>
              <w:ind w:left="380"/>
              <w:spacing w:after="0"/>
              <w:rPr>
                <w:sz w:val="20"/>
                <w:szCs w:val="20"/>
                <w:color w:val="auto"/>
              </w:rPr>
            </w:pPr>
            <w:r>
              <w:rPr>
                <w:rFonts w:ascii="Arial" w:cs="Arial" w:eastAsia="Arial" w:hAnsi="Arial"/>
                <w:sz w:val="18"/>
                <w:szCs w:val="18"/>
                <w:color w:val="auto"/>
              </w:rPr>
              <w:t>Cash paid for income taxes</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51"/>
        </w:trPr>
        <w:tc>
          <w:tcPr>
            <w:tcW w:w="8440" w:type="dxa"/>
            <w:vAlign w:val="bottom"/>
            <w:gridSpan w:val="2"/>
          </w:tcPr>
          <w:p>
            <w:pPr>
              <w:ind w:left="3000"/>
              <w:spacing w:after="0"/>
              <w:rPr>
                <w:sz w:val="20"/>
                <w:szCs w:val="20"/>
                <w:color w:val="auto"/>
              </w:rPr>
            </w:pPr>
            <w:r>
              <w:rPr>
                <w:rFonts w:ascii="Arial" w:cs="Arial" w:eastAsia="Arial" w:hAnsi="Arial"/>
                <w:sz w:val="18"/>
                <w:szCs w:val="18"/>
                <w:color w:val="auto"/>
                <w:w w:val="91"/>
              </w:rPr>
              <w:t>See accompanying notes to condensed consolidated financial statements.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229" w:right="3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Condensed Consolidated Statements of Changes in Equity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(Shares in thousands, dollars in millions)</w:t>
      </w:r>
    </w:p>
    <w:p>
      <w:pPr>
        <w:spacing w:after="0" w:line="100" w:lineRule="exact"/>
        <w:rPr>
          <w:sz w:val="20"/>
          <w:szCs w:val="20"/>
          <w:color w:val="auto"/>
        </w:rPr>
      </w:pPr>
    </w:p>
    <w:p>
      <w:pPr>
        <w:ind w:left="40" w:right="960"/>
        <w:spacing w:after="0" w:line="339" w:lineRule="auto"/>
        <w:rPr>
          <w:sz w:val="20"/>
          <w:szCs w:val="20"/>
          <w:color w:val="auto"/>
        </w:rPr>
      </w:pPr>
      <w:r>
        <w:rPr>
          <w:rFonts w:ascii="Arial" w:cs="Arial" w:eastAsia="Arial" w:hAnsi="Arial"/>
          <w:sz w:val="14"/>
          <w:szCs w:val="14"/>
          <w:b w:val="1"/>
          <w:bCs w:val="1"/>
          <w:color w:val="auto"/>
        </w:rPr>
        <w:t xml:space="preserve">Balance as of December 31, 2019 </w:t>
      </w:r>
      <w:r>
        <w:rPr>
          <w:rFonts w:ascii="Arial" w:cs="Arial" w:eastAsia="Arial" w:hAnsi="Arial"/>
          <w:sz w:val="14"/>
          <w:szCs w:val="14"/>
          <w:color w:val="auto"/>
        </w:rPr>
        <w:t>Net income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Exercise and vesting of stock compensation awards</w:t>
      </w:r>
    </w:p>
    <w:p>
      <w:pPr>
        <w:spacing w:after="0" w:line="132" w:lineRule="exact"/>
        <w:rPr>
          <w:sz w:val="20"/>
          <w:szCs w:val="20"/>
          <w:color w:val="auto"/>
        </w:rPr>
      </w:pPr>
    </w:p>
    <w:p>
      <w:pPr>
        <w:ind w:left="200" w:right="440" w:hanging="161"/>
        <w:spacing w:after="0" w:line="253" w:lineRule="auto"/>
        <w:rPr>
          <w:sz w:val="20"/>
          <w:szCs w:val="20"/>
          <w:color w:val="auto"/>
        </w:rPr>
      </w:pPr>
      <w:r>
        <w:rPr>
          <w:rFonts w:ascii="Arial" w:cs="Arial" w:eastAsia="Arial" w:hAnsi="Arial"/>
          <w:sz w:val="14"/>
          <w:szCs w:val="14"/>
          <w:color w:val="auto"/>
        </w:rPr>
        <w:t>Tax withholdings related to vesting of stock compensation awards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Retirement of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 declared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compensation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shd w:val="clear" w:color="auto" w:fill="CCEEFF"/>
        </w:rPr>
        <w:t>Adoption of new accounting standard and other</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(Shares in thousands, dollars in millions)</w:t>
      </w:r>
    </w:p>
    <w:p>
      <w:pPr>
        <w:spacing w:after="0" w:line="100" w:lineRule="exact"/>
        <w:rPr>
          <w:sz w:val="20"/>
          <w:szCs w:val="20"/>
          <w:color w:val="auto"/>
        </w:rPr>
      </w:pPr>
    </w:p>
    <w:p>
      <w:pPr>
        <w:ind w:left="40" w:right="960"/>
        <w:spacing w:after="0" w:line="339" w:lineRule="auto"/>
        <w:rPr>
          <w:sz w:val="20"/>
          <w:szCs w:val="20"/>
          <w:color w:val="auto"/>
        </w:rPr>
      </w:pPr>
      <w:r>
        <w:rPr>
          <w:rFonts w:ascii="Arial" w:cs="Arial" w:eastAsia="Arial" w:hAnsi="Arial"/>
          <w:sz w:val="14"/>
          <w:szCs w:val="14"/>
          <w:b w:val="1"/>
          <w:bCs w:val="1"/>
          <w:color w:val="auto"/>
        </w:rPr>
        <w:t xml:space="preserve">Balance as of December 31, 2018 </w:t>
      </w:r>
      <w:r>
        <w:rPr>
          <w:rFonts w:ascii="Arial" w:cs="Arial" w:eastAsia="Arial" w:hAnsi="Arial"/>
          <w:sz w:val="14"/>
          <w:szCs w:val="14"/>
          <w:color w:val="auto"/>
        </w:rPr>
        <w:t>Net income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Exercise and vesting of stock compensation awards</w:t>
      </w:r>
    </w:p>
    <w:p>
      <w:pPr>
        <w:spacing w:after="0" w:line="132" w:lineRule="exact"/>
        <w:rPr>
          <w:sz w:val="20"/>
          <w:szCs w:val="20"/>
          <w:color w:val="auto"/>
        </w:rPr>
      </w:pPr>
    </w:p>
    <w:p>
      <w:pPr>
        <w:ind w:left="200" w:right="440" w:hanging="161"/>
        <w:spacing w:after="0" w:line="253" w:lineRule="auto"/>
        <w:rPr>
          <w:sz w:val="20"/>
          <w:szCs w:val="20"/>
          <w:color w:val="auto"/>
        </w:rPr>
      </w:pPr>
      <w:r>
        <w:rPr>
          <w:rFonts w:ascii="Arial" w:cs="Arial" w:eastAsia="Arial" w:hAnsi="Arial"/>
          <w:sz w:val="14"/>
          <w:szCs w:val="14"/>
          <w:color w:val="auto"/>
        </w:rPr>
        <w:t>Tax withholdings related to vesting of stock compensation awards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Retirement of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 declared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compensation expense</w:t>
      </w:r>
    </w:p>
    <w:p>
      <w:pPr>
        <w:spacing w:after="0" w:line="177" w:lineRule="exact"/>
        <w:rPr>
          <w:sz w:val="20"/>
          <w:szCs w:val="20"/>
          <w:color w:val="auto"/>
        </w:rPr>
      </w:pPr>
    </w:p>
    <w:p>
      <w:pPr>
        <w:ind w:left="40" w:right="220"/>
        <w:spacing w:after="0" w:line="434" w:lineRule="auto"/>
        <w:rPr>
          <w:sz w:val="20"/>
          <w:szCs w:val="20"/>
          <w:color w:val="auto"/>
        </w:rPr>
      </w:pPr>
      <w:r>
        <w:rPr>
          <w:rFonts w:ascii="Arial" w:cs="Arial" w:eastAsia="Arial" w:hAnsi="Arial"/>
          <w:sz w:val="14"/>
          <w:szCs w:val="14"/>
          <w:color w:val="auto"/>
        </w:rPr>
        <w:t xml:space="preserve">Adoption of new accounting standard and other </w:t>
      </w:r>
      <w:r>
        <w:rPr>
          <w:rFonts w:ascii="Arial" w:cs="Arial" w:eastAsia="Arial" w:hAnsi="Arial"/>
          <w:sz w:val="14"/>
          <w:szCs w:val="14"/>
          <w:b w:val="1"/>
          <w:bCs w:val="1"/>
          <w:color w:val="auto"/>
        </w:rPr>
        <w:t>Balance as of March 31, 2019</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400" w:type="dxa"/>
            <w:vAlign w:val="bottom"/>
            <w:gridSpan w:val="6"/>
          </w:tcPr>
          <w:p>
            <w:pPr>
              <w:ind w:left="180"/>
              <w:spacing w:after="0"/>
              <w:rPr>
                <w:sz w:val="20"/>
                <w:szCs w:val="20"/>
                <w:color w:val="auto"/>
              </w:rPr>
            </w:pPr>
            <w:r>
              <w:rPr>
                <w:rFonts w:ascii="Arial" w:cs="Arial" w:eastAsia="Arial" w:hAnsi="Arial"/>
                <w:sz w:val="12"/>
                <w:szCs w:val="12"/>
                <w:b w:val="1"/>
                <w:bCs w:val="1"/>
                <w:color w:val="auto"/>
              </w:rPr>
              <w:t>Series A Preferred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0"/>
        </w:trPr>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2"/>
                <w:szCs w:val="12"/>
                <w:b w:val="1"/>
                <w:bCs w:val="1"/>
                <w:color w:val="auto"/>
                <w:w w:val="85"/>
              </w:rPr>
              <w:t>Stock</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34"/>
        </w:trPr>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100"/>
              <w:spacing w:after="0" w:line="134"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ind w:right="30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7"/>
              </w:rPr>
              <w:t>Total XPO</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4"/>
              </w:rPr>
              <w:t>Non-</w:t>
            </w:r>
          </w:p>
        </w:tc>
        <w:tc>
          <w:tcPr>
            <w:tcW w:w="540" w:type="dxa"/>
            <w:vAlign w:val="bottom"/>
          </w:tcPr>
          <w:p>
            <w:pPr>
              <w:spacing w:after="0"/>
              <w:rPr>
                <w:sz w:val="11"/>
                <w:szCs w:val="11"/>
                <w:color w:val="auto"/>
              </w:rPr>
            </w:pPr>
          </w:p>
        </w:tc>
      </w:tr>
      <w:tr>
        <w:trPr>
          <w:trHeight w:val="135"/>
        </w:trPr>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Paid-In</w:t>
            </w:r>
          </w:p>
        </w:tc>
        <w:tc>
          <w:tcPr>
            <w:tcW w:w="1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Retained</w:t>
            </w:r>
          </w:p>
        </w:tc>
        <w:tc>
          <w:tcPr>
            <w:tcW w:w="1000" w:type="dxa"/>
            <w:vAlign w:val="bottom"/>
            <w:gridSpan w:val="3"/>
          </w:tcPr>
          <w:p>
            <w:pPr>
              <w:jc w:val="center"/>
              <w:ind w:right="100"/>
              <w:spacing w:after="0" w:line="135" w:lineRule="exact"/>
              <w:rPr>
                <w:sz w:val="20"/>
                <w:szCs w:val="20"/>
                <w:color w:val="auto"/>
              </w:rPr>
            </w:pPr>
            <w:r>
              <w:rPr>
                <w:rFonts w:ascii="Arial" w:cs="Arial" w:eastAsia="Arial" w:hAnsi="Arial"/>
                <w:sz w:val="12"/>
                <w:szCs w:val="12"/>
                <w:b w:val="1"/>
                <w:bCs w:val="1"/>
                <w:color w:val="auto"/>
                <w:w w:val="91"/>
              </w:rPr>
              <w:t>Comprehensive</w:t>
            </w:r>
          </w:p>
        </w:tc>
        <w:tc>
          <w:tcPr>
            <w:tcW w:w="8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Stockholders'</w:t>
            </w: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controlling</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0"/>
              </w:rPr>
              <w:t>Total</w:t>
            </w:r>
          </w:p>
        </w:tc>
      </w:tr>
      <w:tr>
        <w:trPr>
          <w:trHeight w:val="170"/>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Capital</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30"/>
              <w:spacing w:after="0"/>
              <w:rPr>
                <w:sz w:val="20"/>
                <w:szCs w:val="20"/>
                <w:color w:val="auto"/>
              </w:rPr>
            </w:pPr>
            <w:r>
              <w:rPr>
                <w:rFonts w:ascii="Arial" w:cs="Arial" w:eastAsia="Arial" w:hAnsi="Arial"/>
                <w:sz w:val="12"/>
                <w:szCs w:val="12"/>
                <w:b w:val="1"/>
                <w:bCs w:val="1"/>
                <w:color w:val="auto"/>
                <w:w w:val="85"/>
              </w:rPr>
              <w:t>Loss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0"/>
              <w:spacing w:after="0"/>
              <w:rPr>
                <w:sz w:val="20"/>
                <w:szCs w:val="20"/>
                <w:color w:val="auto"/>
              </w:rPr>
            </w:pPr>
            <w:r>
              <w:rPr>
                <w:rFonts w:ascii="Arial" w:cs="Arial" w:eastAsia="Arial" w:hAnsi="Arial"/>
                <w:sz w:val="12"/>
                <w:szCs w:val="12"/>
                <w:b w:val="1"/>
                <w:bCs w:val="1"/>
                <w:color w:val="auto"/>
                <w:w w:val="98"/>
              </w:rPr>
              <w:t>Equity</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50"/>
              <w:spacing w:after="0"/>
              <w:rPr>
                <w:sz w:val="20"/>
                <w:szCs w:val="20"/>
                <w:color w:val="auto"/>
              </w:rPr>
            </w:pPr>
            <w:r>
              <w:rPr>
                <w:rFonts w:ascii="Arial" w:cs="Arial" w:eastAsia="Arial" w:hAnsi="Arial"/>
                <w:sz w:val="12"/>
                <w:szCs w:val="12"/>
                <w:b w:val="1"/>
                <w:bCs w:val="1"/>
                <w:color w:val="auto"/>
                <w:w w:val="87"/>
              </w:rPr>
              <w:t>Interests</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Equity</w:t>
            </w:r>
          </w:p>
        </w:tc>
      </w:tr>
      <w:tr>
        <w:trPr>
          <w:trHeight w:val="25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w:t>
            </w: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21"/>
                <w:szCs w:val="21"/>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92,342</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2,061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786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w:t>
            </w:r>
          </w:p>
        </w:tc>
        <w:tc>
          <w:tcPr>
            <w:tcW w:w="120" w:type="dxa"/>
            <w:vAlign w:val="bottom"/>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2,743</w:t>
            </w:r>
          </w:p>
        </w:tc>
        <w:tc>
          <w:tcPr>
            <w:tcW w:w="120" w:type="dxa"/>
            <w:vAlign w:val="bottom"/>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153</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w w:val="97"/>
              </w:rPr>
              <w:t>$2,896</w:t>
            </w:r>
          </w:p>
        </w:tc>
      </w:tr>
      <w:tr>
        <w:trPr>
          <w:trHeight w:val="244"/>
        </w:trPr>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auto"/>
              </w:rPr>
              <w:t>25</w:t>
            </w:r>
          </w:p>
        </w:tc>
      </w:tr>
      <w:tr>
        <w:trPr>
          <w:trHeight w:val="270"/>
        </w:trPr>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70"/>
        </w:trPr>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351"/>
        </w:trPr>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70"/>
        </w:trPr>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(1,715)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270"/>
        </w:trPr>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0"/>
        </w:trPr>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0"/>
              <w:spacing w:after="0"/>
              <w:rPr>
                <w:sz w:val="20"/>
                <w:szCs w:val="20"/>
                <w:color w:val="auto"/>
              </w:rPr>
            </w:pPr>
            <w:r>
              <w:rPr>
                <w:rFonts w:ascii="Arial" w:cs="Arial" w:eastAsia="Arial" w:hAnsi="Arial"/>
                <w:sz w:val="14"/>
                <w:szCs w:val="14"/>
                <w:color w:val="auto"/>
              </w:rPr>
              <w:t>12</w:t>
            </w:r>
          </w:p>
        </w:tc>
      </w:tr>
      <w:tr>
        <w:trPr>
          <w:trHeight w:val="276"/>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37"/>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72</w:t>
            </w:r>
          </w:p>
        </w:tc>
        <w:tc>
          <w:tcPr>
            <w:tcW w:w="420" w:type="dxa"/>
            <w:vAlign w:val="bottom"/>
            <w:gridSpan w:val="3"/>
          </w:tcPr>
          <w:p>
            <w:pPr>
              <w:jc w:val="right"/>
              <w:ind w:right="53"/>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48"/>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b w:val="1"/>
                <w:bCs w:val="1"/>
                <w:color w:val="auto"/>
              </w:rPr>
              <w:t>91,044</w:t>
            </w:r>
          </w:p>
        </w:tc>
        <w:tc>
          <w:tcPr>
            <w:tcW w:w="120" w:type="dxa"/>
            <w:vAlign w:val="bottom"/>
          </w:tcPr>
          <w:p>
            <w:pPr>
              <w:spacing w:after="0"/>
              <w:rPr>
                <w:sz w:val="20"/>
                <w:szCs w:val="20"/>
                <w:color w:val="auto"/>
              </w:rPr>
            </w:pPr>
          </w:p>
        </w:tc>
        <w:tc>
          <w:tcPr>
            <w:tcW w:w="300" w:type="dxa"/>
            <w:vAlign w:val="bottom"/>
          </w:tcPr>
          <w:p>
            <w:pPr>
              <w:jc w:val="right"/>
              <w:ind w:right="132"/>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30"/>
              <w:spacing w:after="0"/>
              <w:rPr>
                <w:sz w:val="20"/>
                <w:szCs w:val="20"/>
                <w:color w:val="auto"/>
              </w:rPr>
            </w:pPr>
            <w:r>
              <w:rPr>
                <w:rFonts w:ascii="Arial" w:cs="Arial" w:eastAsia="Arial" w:hAnsi="Arial"/>
                <w:sz w:val="14"/>
                <w:szCs w:val="14"/>
                <w:b w:val="1"/>
                <w:bCs w:val="1"/>
                <w:color w:val="auto"/>
              </w:rPr>
              <w:t>1,943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b w:val="1"/>
                <w:bCs w:val="1"/>
                <w:color w:val="auto"/>
              </w:rPr>
              <w:t>804</w:t>
            </w:r>
          </w:p>
        </w:tc>
        <w:tc>
          <w:tcPr>
            <w:tcW w:w="100" w:type="dxa"/>
            <w:vAlign w:val="bottom"/>
          </w:tcPr>
          <w:p>
            <w:pPr>
              <w:spacing w:after="0"/>
              <w:rPr>
                <w:sz w:val="20"/>
                <w:szCs w:val="20"/>
                <w:color w:val="auto"/>
              </w:rPr>
            </w:pPr>
          </w:p>
        </w:tc>
        <w:tc>
          <w:tcPr>
            <w:tcW w:w="200" w:type="dxa"/>
            <w:vAlign w:val="bottom"/>
          </w:tcPr>
          <w:p>
            <w:pPr>
              <w:jc w:val="right"/>
              <w:ind w:right="33"/>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(210)</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ind w:right="30"/>
              <w:spacing w:after="0"/>
              <w:rPr>
                <w:sz w:val="20"/>
                <w:szCs w:val="20"/>
                <w:color w:val="auto"/>
              </w:rPr>
            </w:pPr>
            <w:r>
              <w:rPr>
                <w:rFonts w:ascii="Arial" w:cs="Arial" w:eastAsia="Arial" w:hAnsi="Arial"/>
                <w:sz w:val="14"/>
                <w:szCs w:val="14"/>
                <w:b w:val="1"/>
                <w:bCs w:val="1"/>
                <w:color w:val="auto"/>
              </w:rPr>
              <w:t>2,578</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Pr>
          <w:p>
            <w:pPr>
              <w:jc w:val="right"/>
              <w:ind w:right="50"/>
              <w:spacing w:after="0"/>
              <w:rPr>
                <w:sz w:val="20"/>
                <w:szCs w:val="20"/>
                <w:color w:val="auto"/>
              </w:rPr>
            </w:pPr>
            <w:r>
              <w:rPr>
                <w:rFonts w:ascii="Arial" w:cs="Arial" w:eastAsia="Arial" w:hAnsi="Arial"/>
                <w:sz w:val="14"/>
                <w:szCs w:val="14"/>
                <w:b w:val="1"/>
                <w:bCs w:val="1"/>
                <w:color w:val="auto"/>
              </w:rPr>
              <w:t>150</w:t>
            </w:r>
          </w:p>
        </w:tc>
        <w:tc>
          <w:tcPr>
            <w:tcW w:w="10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b w:val="1"/>
                <w:bCs w:val="1"/>
                <w:color w:val="auto"/>
                <w:w w:val="97"/>
              </w:rPr>
              <w:t>$2,728</w:t>
            </w:r>
          </w:p>
        </w:tc>
      </w:tr>
      <w:tr>
        <w:trPr>
          <w:trHeight w:val="20"/>
        </w:trPr>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377"/>
        </w:trPr>
        <w:tc>
          <w:tcPr>
            <w:tcW w:w="1400" w:type="dxa"/>
            <w:vAlign w:val="bottom"/>
            <w:gridSpan w:val="6"/>
          </w:tcPr>
          <w:p>
            <w:pPr>
              <w:ind w:left="180"/>
              <w:spacing w:after="0"/>
              <w:rPr>
                <w:sz w:val="20"/>
                <w:szCs w:val="20"/>
                <w:color w:val="auto"/>
              </w:rPr>
            </w:pPr>
            <w:r>
              <w:rPr>
                <w:rFonts w:ascii="Arial" w:cs="Arial" w:eastAsia="Arial" w:hAnsi="Arial"/>
                <w:sz w:val="12"/>
                <w:szCs w:val="12"/>
                <w:b w:val="1"/>
                <w:bCs w:val="1"/>
                <w:color w:val="auto"/>
              </w:rPr>
              <w:t>Series A Preferred</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0"/>
        </w:trPr>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2"/>
                <w:szCs w:val="12"/>
                <w:b w:val="1"/>
                <w:bCs w:val="1"/>
                <w:color w:val="auto"/>
                <w:w w:val="85"/>
              </w:rPr>
              <w:t>Stock</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34"/>
        </w:trPr>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100"/>
              <w:spacing w:after="0" w:line="134"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ind w:right="30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7"/>
              </w:rPr>
              <w:t>Total XPO</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4"/>
              </w:rPr>
              <w:t>Non-</w:t>
            </w:r>
          </w:p>
        </w:tc>
        <w:tc>
          <w:tcPr>
            <w:tcW w:w="540" w:type="dxa"/>
            <w:vAlign w:val="bottom"/>
          </w:tcPr>
          <w:p>
            <w:pPr>
              <w:spacing w:after="0"/>
              <w:rPr>
                <w:sz w:val="11"/>
                <w:szCs w:val="11"/>
                <w:color w:val="auto"/>
              </w:rPr>
            </w:pPr>
          </w:p>
        </w:tc>
      </w:tr>
      <w:tr>
        <w:trPr>
          <w:trHeight w:val="135"/>
        </w:trPr>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Paid-In</w:t>
            </w:r>
          </w:p>
        </w:tc>
        <w:tc>
          <w:tcPr>
            <w:tcW w:w="1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Retained</w:t>
            </w:r>
          </w:p>
        </w:tc>
        <w:tc>
          <w:tcPr>
            <w:tcW w:w="1000" w:type="dxa"/>
            <w:vAlign w:val="bottom"/>
            <w:gridSpan w:val="3"/>
          </w:tcPr>
          <w:p>
            <w:pPr>
              <w:jc w:val="center"/>
              <w:ind w:right="100"/>
              <w:spacing w:after="0" w:line="135" w:lineRule="exact"/>
              <w:rPr>
                <w:sz w:val="20"/>
                <w:szCs w:val="20"/>
                <w:color w:val="auto"/>
              </w:rPr>
            </w:pPr>
            <w:r>
              <w:rPr>
                <w:rFonts w:ascii="Arial" w:cs="Arial" w:eastAsia="Arial" w:hAnsi="Arial"/>
                <w:sz w:val="12"/>
                <w:szCs w:val="12"/>
                <w:b w:val="1"/>
                <w:bCs w:val="1"/>
                <w:color w:val="auto"/>
                <w:w w:val="91"/>
              </w:rPr>
              <w:t>Comprehensive</w:t>
            </w:r>
          </w:p>
        </w:tc>
        <w:tc>
          <w:tcPr>
            <w:tcW w:w="8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Stockholders'</w:t>
            </w: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controlling</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0"/>
              </w:rPr>
              <w:t>Total</w:t>
            </w:r>
          </w:p>
        </w:tc>
      </w:tr>
      <w:tr>
        <w:trPr>
          <w:trHeight w:val="170"/>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Capital</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30"/>
              <w:spacing w:after="0"/>
              <w:rPr>
                <w:sz w:val="20"/>
                <w:szCs w:val="20"/>
                <w:color w:val="auto"/>
              </w:rPr>
            </w:pPr>
            <w:r>
              <w:rPr>
                <w:rFonts w:ascii="Arial" w:cs="Arial" w:eastAsia="Arial" w:hAnsi="Arial"/>
                <w:sz w:val="12"/>
                <w:szCs w:val="12"/>
                <w:b w:val="1"/>
                <w:bCs w:val="1"/>
                <w:color w:val="auto"/>
                <w:w w:val="85"/>
              </w:rPr>
              <w:t>Loss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0"/>
              <w:spacing w:after="0"/>
              <w:rPr>
                <w:sz w:val="20"/>
                <w:szCs w:val="20"/>
                <w:color w:val="auto"/>
              </w:rPr>
            </w:pPr>
            <w:r>
              <w:rPr>
                <w:rFonts w:ascii="Arial" w:cs="Arial" w:eastAsia="Arial" w:hAnsi="Arial"/>
                <w:sz w:val="12"/>
                <w:szCs w:val="12"/>
                <w:b w:val="1"/>
                <w:bCs w:val="1"/>
                <w:color w:val="auto"/>
                <w:w w:val="98"/>
              </w:rPr>
              <w:t>Equity</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50"/>
              <w:spacing w:after="0"/>
              <w:rPr>
                <w:sz w:val="20"/>
                <w:szCs w:val="20"/>
                <w:color w:val="auto"/>
              </w:rPr>
            </w:pPr>
            <w:r>
              <w:rPr>
                <w:rFonts w:ascii="Arial" w:cs="Arial" w:eastAsia="Arial" w:hAnsi="Arial"/>
                <w:sz w:val="12"/>
                <w:szCs w:val="12"/>
                <w:b w:val="1"/>
                <w:bCs w:val="1"/>
                <w:color w:val="auto"/>
                <w:w w:val="87"/>
              </w:rPr>
              <w:t>Interests</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Equity</w:t>
            </w:r>
          </w:p>
        </w:tc>
      </w:tr>
      <w:tr>
        <w:trPr>
          <w:trHeight w:val="250"/>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w:t>
            </w: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21"/>
                <w:szCs w:val="21"/>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115,683</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3,311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377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(154)</w:t>
            </w:r>
          </w:p>
        </w:tc>
        <w:tc>
          <w:tcPr>
            <w:tcW w:w="120" w:type="dxa"/>
            <w:vAlign w:val="bottom"/>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3,575</w:t>
            </w:r>
          </w:p>
        </w:tc>
        <w:tc>
          <w:tcPr>
            <w:tcW w:w="120" w:type="dxa"/>
            <w:vAlign w:val="bottom"/>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395</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w w:val="97"/>
              </w:rPr>
              <w:t>$3,970</w:t>
            </w:r>
          </w:p>
        </w:tc>
      </w:tr>
      <w:tr>
        <w:trPr>
          <w:trHeight w:val="244"/>
        </w:trPr>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auto"/>
              </w:rPr>
              <w:t>52</w:t>
            </w:r>
          </w:p>
        </w:tc>
      </w:tr>
      <w:tr>
        <w:trPr>
          <w:trHeight w:val="270"/>
        </w:trPr>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70"/>
        </w:trPr>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351"/>
        </w:trPr>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70"/>
        </w:trPr>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(22,570)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(1,195)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(1,195)</w:t>
            </w:r>
          </w:p>
        </w:tc>
      </w:tr>
      <w:tr>
        <w:trPr>
          <w:trHeight w:val="270"/>
        </w:trPr>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0"/>
        </w:trPr>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0"/>
              <w:spacing w:after="0"/>
              <w:rPr>
                <w:sz w:val="20"/>
                <w:szCs w:val="20"/>
                <w:color w:val="auto"/>
              </w:rPr>
            </w:pPr>
            <w:r>
              <w:rPr>
                <w:rFonts w:ascii="Arial" w:cs="Arial" w:eastAsia="Arial" w:hAnsi="Arial"/>
                <w:sz w:val="14"/>
                <w:szCs w:val="14"/>
                <w:color w:val="auto"/>
              </w:rPr>
              <w:t>8</w:t>
            </w:r>
          </w:p>
        </w:tc>
      </w:tr>
      <w:tr>
        <w:trPr>
          <w:trHeight w:val="276"/>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w:t>
            </w:r>
          </w:p>
        </w:tc>
      </w:tr>
      <w:tr>
        <w:trPr>
          <w:trHeight w:val="237"/>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72</w:t>
            </w:r>
          </w:p>
        </w:tc>
        <w:tc>
          <w:tcPr>
            <w:tcW w:w="420" w:type="dxa"/>
            <w:vAlign w:val="bottom"/>
            <w:gridSpan w:val="3"/>
          </w:tcPr>
          <w:p>
            <w:pPr>
              <w:jc w:val="right"/>
              <w:ind w:right="53"/>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48"/>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b w:val="1"/>
                <w:bCs w:val="1"/>
                <w:color w:val="auto"/>
              </w:rPr>
              <w:t>93,207</w:t>
            </w:r>
          </w:p>
        </w:tc>
        <w:tc>
          <w:tcPr>
            <w:tcW w:w="120" w:type="dxa"/>
            <w:vAlign w:val="bottom"/>
          </w:tcPr>
          <w:p>
            <w:pPr>
              <w:spacing w:after="0"/>
              <w:rPr>
                <w:sz w:val="20"/>
                <w:szCs w:val="20"/>
                <w:color w:val="auto"/>
              </w:rPr>
            </w:pPr>
          </w:p>
        </w:tc>
        <w:tc>
          <w:tcPr>
            <w:tcW w:w="300" w:type="dxa"/>
            <w:vAlign w:val="bottom"/>
          </w:tcPr>
          <w:p>
            <w:pPr>
              <w:jc w:val="right"/>
              <w:ind w:right="132"/>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30"/>
              <w:spacing w:after="0"/>
              <w:rPr>
                <w:sz w:val="20"/>
                <w:szCs w:val="20"/>
                <w:color w:val="auto"/>
              </w:rPr>
            </w:pPr>
            <w:r>
              <w:rPr>
                <w:rFonts w:ascii="Arial" w:cs="Arial" w:eastAsia="Arial" w:hAnsi="Arial"/>
                <w:sz w:val="14"/>
                <w:szCs w:val="14"/>
                <w:b w:val="1"/>
                <w:bCs w:val="1"/>
                <w:color w:val="auto"/>
              </w:rPr>
              <w:t>2,122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b w:val="1"/>
                <w:bCs w:val="1"/>
                <w:color w:val="auto"/>
              </w:rPr>
              <w:t>428</w:t>
            </w:r>
          </w:p>
        </w:tc>
        <w:tc>
          <w:tcPr>
            <w:tcW w:w="100" w:type="dxa"/>
            <w:vAlign w:val="bottom"/>
          </w:tcPr>
          <w:p>
            <w:pPr>
              <w:spacing w:after="0"/>
              <w:rPr>
                <w:sz w:val="20"/>
                <w:szCs w:val="20"/>
                <w:color w:val="auto"/>
              </w:rPr>
            </w:pPr>
          </w:p>
        </w:tc>
        <w:tc>
          <w:tcPr>
            <w:tcW w:w="200" w:type="dxa"/>
            <w:vAlign w:val="bottom"/>
          </w:tcPr>
          <w:p>
            <w:pPr>
              <w:jc w:val="right"/>
              <w:ind w:right="33"/>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(153)</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ind w:right="30"/>
              <w:spacing w:after="0"/>
              <w:rPr>
                <w:sz w:val="20"/>
                <w:szCs w:val="20"/>
                <w:color w:val="auto"/>
              </w:rPr>
            </w:pPr>
            <w:r>
              <w:rPr>
                <w:rFonts w:ascii="Arial" w:cs="Arial" w:eastAsia="Arial" w:hAnsi="Arial"/>
                <w:sz w:val="14"/>
                <w:szCs w:val="14"/>
                <w:b w:val="1"/>
                <w:bCs w:val="1"/>
                <w:color w:val="auto"/>
              </w:rPr>
              <w:t>2,438</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Pr>
          <w:p>
            <w:pPr>
              <w:jc w:val="right"/>
              <w:ind w:right="50"/>
              <w:spacing w:after="0"/>
              <w:rPr>
                <w:sz w:val="20"/>
                <w:szCs w:val="20"/>
                <w:color w:val="auto"/>
              </w:rPr>
            </w:pPr>
            <w:r>
              <w:rPr>
                <w:rFonts w:ascii="Arial" w:cs="Arial" w:eastAsia="Arial" w:hAnsi="Arial"/>
                <w:sz w:val="14"/>
                <w:szCs w:val="14"/>
                <w:b w:val="1"/>
                <w:bCs w:val="1"/>
                <w:color w:val="auto"/>
              </w:rPr>
              <w:t>395</w:t>
            </w:r>
          </w:p>
        </w:tc>
        <w:tc>
          <w:tcPr>
            <w:tcW w:w="10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b w:val="1"/>
                <w:bCs w:val="1"/>
                <w:color w:val="auto"/>
                <w:w w:val="97"/>
              </w:rPr>
              <w:t>$2,833</w:t>
            </w:r>
          </w:p>
        </w:tc>
      </w:tr>
      <w:tr>
        <w:trPr>
          <w:trHeight w:val="20"/>
        </w:trPr>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-3959860</wp:posOffset>
            </wp:positionV>
            <wp:extent cx="71323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-3616960</wp:posOffset>
            </wp:positionV>
            <wp:extent cx="7132320"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-3222625</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-2879725</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-4302760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-1439545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-1096645</wp:posOffset>
            </wp:positionV>
            <wp:extent cx="713232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-702310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-359410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-1782445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1" w:lineRule="exact"/>
        <w:rPr>
          <w:sz w:val="20"/>
          <w:szCs w:val="20"/>
          <w:color w:val="auto"/>
        </w:rPr>
      </w:pPr>
    </w:p>
    <w:p>
      <w:pPr>
        <w:sectPr>
          <w:pgSz w:w="11900" w:h="16838" w:orient="portrait"/>
          <w:cols w:equalWidth="0" w:num="2">
            <w:col w:w="3000" w:space="500"/>
            <w:col w:w="7740"/>
          </w:cols>
          <w:pgMar w:left="320" w:top="229" w:right="339" w:bottom="1440" w:gutter="0" w:footer="0" w:header="0"/>
          <w:type w:val="continuous"/>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29" w:right="3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XPO Logistics,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Description of Business and Basis of Presentation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XPO Logistics, Inc., together with its subsidiaries (“XPO” or “we”), is a top ten global provider of cutting-edge supply chain solutions to the most successful companies in the world. We use our integrated network of people, technology and physical assets to help customers manage their goods most efficiently throughout their supply chains. Our customers are multinational, national, mid-size and small enterprises. We run our business on a global basis, with two reportable segments: Transportation and Logistics. See Note 2—Segment Reporting for further information on our operations.</w:t>
      </w:r>
    </w:p>
    <w:p>
      <w:pPr>
        <w:spacing w:after="0" w:line="6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prepared our Condensed Consolidated Financial Statements in accordance with U.S. generally accepted accounting principles (“GAAP”) and on the same basis as the accounting policies described in our annual report on Form 10-K for the year ended December 31, 2019 (the “2019 Form 10-K”), except for the effects of adopting Accounting Standards Update (“ASU”) 2016-13, “Financial Instruments - Credit Losses (Topic 326): Measurement of Credit Losses on Financial Instruments” as of January 1, 2020, as described below. The interim reporting requirements of Form 10-Q allow certain information and note disclosures normally included in annual consolidated financial statements to be condensed or omitted. These Condensed Consolidated Financial Statements should be read in conjunction with the 2019 Form 10-K.</w:t>
      </w:r>
    </w:p>
    <w:p>
      <w:pPr>
        <w:spacing w:after="0" w:line="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Condensed Consolidated Financial Statements are not audited but reflect all adjustments that are of a normal recurring nature and are necessary for a fair presentation of financial condition, operating results and cash flows for the interim periods presented. Operating results for the three months ended March 31, 2020 are not necessarily indicative of the results that may be expected for the fiscal year ending December 31, 2020, particularly in light of the outbreak of a new strain of coronavirus, COVID-19, in the first quarter of 2020. The rapid escalation of COVID-19 into a pandemic in the first quarter of 2020 has affected, and will continue to affect, economic activity broadly and customer sectors served by our industry. We expect that COVID-19 will have significant effects on economic activity, on demand for our services, and on our results of operations in 2020.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March 31, 2020 and December 31, 2019, our restricted cash included in Other long-term assets on our Condensed Consolidated Balance Sheets was $10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record accounts receivable at the contractual amount and we record an allowance for doubtful accounts for the amount we estimate we may not collect. In determining the allowance for doubtful accounts, we consider historical collection experience, the age of the accounts receivable balances, the credit quality and risk of our customers, any specific customer collection issues, current economic conditions, and other factors that may impact our customers’ ability to pay. Commencing in the first quarter of 2020 and in accordance with ASU 2016-13, we also consider reasonable and supportable forecasts of future economic conditions and their expected impact on customer collections in determining our allowance for doubtful accounts. We write off accounts receivable balances once the receivables are no longer deemed collectible.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1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Condensed Consolidated Statements of Cash Flows. We also sell trade accounts receivable under a securitization program described below. We use trade receivables securitization and factoring programs to help manage our cash flows and offset the impact of extended payment terms for some of our customers.</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320" w:top="22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XPO Logistics Europe SA (“XPO Logistics Europe”), one of our majority-owned subsidiaries, participates in a trade receivables securitization program co-arranged by Crédit Agricole, BNP Paribas and HSBC (the “Purchasers”). Under the program, a wholly-owned bankruptcy-remote special purpose entity of XPO Logistics Europe sells trade receivables that originate with wholly-owned subsidiaries of XPO Logistics Europe in the United Kingdom and France to unaffiliated entities managed by the Purchasers. The special purpose entity is a variable interest entity and is consolidated by XPO based on our control of the entity’s activities.</w:t>
      </w:r>
    </w:p>
    <w:p>
      <w:pPr>
        <w:spacing w:after="0" w:line="8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Condensed Consolidated Balance Sheets at the date of transfer. In the securitization and factoring arrangements, any continuing involvement with the receivables is limited to servicing the receivables. The fair value of any servicing assets and liabilities is immaterial. Our trade receivables securitization program permits us to borrow, on an unsecured basis, cash collected in a servicing capacity on previously sold receivables, which we report within short-term debt on our Condensed Consolidated Balance Sheets. These borrowings amounted to €164 million ($181 million) as of March 31, 2020. See Note 6—Debt for additional information on these borrowings.</w:t>
      </w:r>
    </w:p>
    <w:p>
      <w:pPr>
        <w:spacing w:after="0" w:line="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Under a securitization program that was terminated in July 2019, if transfers were accounted for as sales, the consideration received included a simultaneous cash payment and a deferred purchase price receivable. The deferred purchase price receivable was not a trade receivable and was recorded based on its fair value and reported within Other current assets on our Condensed Consolidated Balance Sheets. The cash payment which we received on the date of the transfer was reflected within Net cash provided by (used in) operating activities on our Condensed Consolidated Statements of Cash Flows. As we received cash payments on the deferred purchase price receivable, it was reflected as an investing activity. The new program does not include a deferred purchase price mechanism.</w:t>
      </w:r>
    </w:p>
    <w:p>
      <w:pPr>
        <w:spacing w:after="0" w:line="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maximum amount of net cash proceeds available at any one time under the program is €400 million (approximately $441 million as of March 31, 2020) and this amount includes any unsecured borrowings related to the program. As of March 31, 2020, €88 million (approximately $98 million) was available to us based on the level of receivables sold and outstanding as of that date. The weighted average interest rate was 0.80% as of March 31, 2020. Charges for commitment fees, which are based on a percentage of available amounts, and charges for administrative fees were not material to our results of operations for the three months ended March 31, 2020 and 2019. The securitization program expires in July 2022 and contains financial covenants customary for this type of arrangement, including maintaining a defined average days sales outstanding ratio.</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88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vMerge w:val="restart"/>
          </w:tcPr>
          <w:p>
            <w:pPr>
              <w:spacing w:after="0"/>
              <w:rPr>
                <w:sz w:val="16"/>
                <w:szCs w:val="16"/>
                <w:color w:val="auto"/>
              </w:rPr>
            </w:pPr>
          </w:p>
        </w:tc>
        <w:tc>
          <w:tcPr>
            <w:tcW w:w="1060" w:type="dxa"/>
            <w:vAlign w:val="bottom"/>
          </w:tcPr>
          <w:p>
            <w:pPr>
              <w:ind w:left="640"/>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7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Securitization programs</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Receivables sold in period</w:t>
            </w:r>
          </w:p>
        </w:tc>
        <w:tc>
          <w:tcPr>
            <w:tcW w:w="1060" w:type="dxa"/>
            <w:vAlign w:val="bottom"/>
          </w:tcPr>
          <w:p>
            <w:pPr>
              <w:jc w:val="right"/>
              <w:ind w:right="862"/>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1"/>
                <w:szCs w:val="21"/>
                <w:color w:val="auto"/>
              </w:rPr>
            </w:pP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consideration</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Deferred purchase price</w:t>
            </w:r>
          </w:p>
        </w:tc>
        <w:tc>
          <w:tcPr>
            <w:tcW w:w="106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b w:val="1"/>
                <w:bCs w:val="1"/>
                <w:color w:val="auto"/>
              </w:rPr>
              <w:t>Factoring programs</w:t>
            </w: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Receivables sold in period</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Cash consideration</w:t>
            </w:r>
          </w:p>
        </w:tc>
        <w:tc>
          <w:tcPr>
            <w:tcW w:w="10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to the cash considerations referenced above, we received $71 million in the three months ended March 31, 2019, for the realization of cash on the deferred purchase price receivable for our prior securitization program.</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2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6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62" w:lineRule="exact"/>
        <w:rPr>
          <w:rFonts w:ascii="Arial" w:cs="Arial" w:eastAsia="Arial" w:hAnsi="Arial"/>
          <w:sz w:val="18"/>
          <w:szCs w:val="18"/>
          <w:color w:val="auto"/>
        </w:rPr>
      </w:pPr>
    </w:p>
    <w:p>
      <w:pPr>
        <w:ind w:left="660" w:right="8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generally utilizing pricing models or other valuation techniques that reflect management’s judgment and estimates.</w:t>
      </w:r>
    </w:p>
    <w:p>
      <w:pPr>
        <w:spacing w:after="0" w:line="6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base our fair value estimates on market assumptions and available information. The carrying values of cash and cash equivalents, accounts receivable, accounts payable, accrued expenses and current maturities of long-term debt approximated their fair values as of March 31, 2020 and December 31, 2019 due to their short-term nature and/or being receivable or payable on demand. The Level 1 cash equivalents included money market funds valued using quoted prices in active markets. The Level 2 cash equivalents include short-term investments valued using published interest rates for instruments with similar terms and maturities. For information on the fair value hierarchy of our derivative instruments, see Note 5—Derivative Instruments and for information on financial liabilities, see Note 6—Debt.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cash equivalents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Carrying Value</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140" w:type="dxa"/>
            <w:vAlign w:val="bottom"/>
          </w:tcPr>
          <w:p>
            <w:pPr>
              <w:ind w:left="180"/>
              <w:spacing w:after="0"/>
              <w:rPr>
                <w:sz w:val="20"/>
                <w:szCs w:val="20"/>
                <w:color w:val="auto"/>
              </w:rPr>
            </w:pPr>
            <w:r>
              <w:rPr>
                <w:rFonts w:ascii="Arial" w:cs="Arial" w:eastAsia="Arial" w:hAnsi="Arial"/>
                <w:sz w:val="14"/>
                <w:szCs w:val="14"/>
                <w:b w:val="1"/>
                <w:bCs w:val="1"/>
                <w:color w:val="auto"/>
              </w:rPr>
              <w:t>Level 2</w:t>
            </w:r>
          </w:p>
        </w:tc>
      </w:tr>
      <w:tr>
        <w:trPr>
          <w:trHeight w:val="249"/>
        </w:trPr>
        <w:tc>
          <w:tcPr>
            <w:tcW w:w="49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March 31, 2020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733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December 31, 2019</w:t>
            </w:r>
          </w:p>
        </w:tc>
        <w:tc>
          <w:tcPr>
            <w:tcW w:w="18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144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17</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June 2016, the Financial Accounting Standards Board (“FASB”) issued ASU 2016-13, “Financial Instruments - Credit Losses (Topic 326): Measurement of Credit Losses on Financial Instruments.” The ASU, as subsequently modified, amends the current incurred losses impairment method with a method that reflects expected credit losses on certain types of financial instruments, including trade receivables. We adopted this standard on January 1, 2020 and recorded an immaterial adjustment to total equity for the cumulative impact of adoption.</w:t>
      </w:r>
    </w:p>
    <w:p>
      <w:pPr>
        <w:spacing w:after="0" w:line="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“Customer’s Accounting for Implementation Costs Incurred in a Cloud Computing Arrangement That Is a Service Contract.” The ASU aligns the requirements for capitalizing implementation costs incurred in a hosting arrangement that is a service contract with the requirements for capitalizing implementation costs incurred to develop or obtain internal-use software. Under the guidance, any capitalized implementation costs would be included in prepaid expenses, amortized over the term of the hosting arrangement on a straight-line basis and presented in the same line items in the Consolidated Statement of Income as the expense for fees of the associated hosting arrangements. We adopted this standard on January 1, 2020 on a prospective basis. The adoption did not have a material effect on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Issued but Not Yet Effective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ASU is intended to simplify the accounting for income taxes by removing certain exceptions to the general principles in Topic 740. The ASU also clarifies and amends existing guidance to enhance consistency and comparability among reporting entities. This ASU is effective for fiscal years beginning after December 15, 2020, including interim periods within that reporting period; however, early adoption is permitted. We are currently evaluating the impact of this standard on our consolidated financial statements.</w:t>
      </w:r>
    </w:p>
    <w:p>
      <w:pPr>
        <w:spacing w:after="0" w:line="8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March 2020, the FASB issued ASU 2020-04, Reference rate reform (Topic 848)—“Facilitation of the effects of reference rate reform on financial reporting.” The ASU provides optional expedients and exceptions for applying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2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GAAP to contracts, hedging relationships, and other transactions affected by reference rate reform. The amendments apply only to contracts and hedging relationships that reference London Inter-bank Offered Rate (“LIBOR”) or another reference rate expected to be discontinued due to reference rate reform. The amendments are elective and are effective upon issuance through December 31, 2022. We are currently evaluating the impact of the new guidance.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Reporting</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organized into two reportable segments: Transportation and Logistics. We evaluate our performance in large part based on the various financial measures of our two reporting segments.</w:t>
      </w:r>
    </w:p>
    <w:p>
      <w:pPr>
        <w:spacing w:after="0" w:line="6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our Transportation segment, we provide multiple services to facilitate the movement of raw materials, parts and finished goods. We accomplish this by using our proprietary technology, third-party independent carriers and our transportation assets and service centers. Our transportation services include truck brokerage and expedite; truckload; less-than-truckload (“LTL”); last mile; intermodal and drayage; managed transportation; and global forwarding. Freight brokerage, last mile, global forwarding and managed transportation are non-asset or asset-light businesses while LTL and truckload are primarily asset-based operations.</w:t>
      </w:r>
    </w:p>
    <w:p>
      <w:pPr>
        <w:spacing w:after="0" w:line="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our Logistics segment, which we also refer to as supply chain or contract logistics, we provide a wide range of services differentiated by our proprietary technology and our ability to customize solutions for individual customers. Our services include value-added warehousing and distribution, e-commerce and omnichannel fulfillment, cold-chain solutions, reverse logistics, packaging and labeling, factory support, aftermarket support, inventory management, order personalization and supply chain optimization. In addition, our Logistics segment provides engineered solutions for supply chain optimization, such as production flow management.</w:t>
      </w:r>
    </w:p>
    <w:p>
      <w:pPr>
        <w:spacing w:after="0" w:line="8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Some of our operating units provide services to our other operating units outside of their reportable segment. Billings for such services are based on negotiated rates and are reflected as revenues of the billing segment. We adjust these rates from time to time based on market conditions. We eliminate intersegment revenues and expenses in our consolidated results.</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Corporate includes corporate headquarters costs for executive officers and certain legal and financial functions, and other costs and credits not attributed to our reporting segments.</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chief operating decision maker (“CODM”) regularly reviews financial information at the reporting segment level to allocate resources to the segments and to assess their performance. We include items directly attributable to a segment, and those that can be allocated on a reasonable basis, in segment results reported to the CODM. We do not provide asset information by segment to the CODM, as the majority of our assets are managed at the corporate level.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for our segments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Logistics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Eliminations/Other</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Three months ended March 31, 2020</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gridSpan w:val="2"/>
          </w:tcPr>
          <w:p>
            <w:pPr>
              <w:ind w:left="18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2,459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3,864</w:t>
            </w:r>
          </w:p>
        </w:tc>
      </w:tr>
      <w:tr>
        <w:trPr>
          <w:trHeight w:val="27"/>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r>
      <w:tr>
        <w:trPr>
          <w:trHeight w:val="243"/>
        </w:trPr>
        <w:tc>
          <w:tcPr>
            <w:tcW w:w="45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183</w:t>
            </w:r>
          </w:p>
        </w:tc>
      </w:tr>
      <w:tr>
        <w:trPr>
          <w:trHeight w:val="27"/>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4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Three months ended March 31, 2019</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4,120</w:t>
            </w:r>
          </w:p>
        </w:tc>
      </w:tr>
      <w:tr>
        <w:trPr>
          <w:trHeight w:val="243"/>
        </w:trPr>
        <w:tc>
          <w:tcPr>
            <w:tcW w:w="4520" w:type="dxa"/>
            <w:vAlign w:val="bottom"/>
            <w:gridSpan w:val="2"/>
          </w:tcPr>
          <w:p>
            <w:pPr>
              <w:ind w:left="18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132</w:t>
            </w:r>
          </w:p>
        </w:tc>
      </w:tr>
      <w:tr>
        <w:trPr>
          <w:trHeight w:val="27"/>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180</w:t>
            </w:r>
          </w:p>
        </w:tc>
      </w:tr>
      <w:tr>
        <w:trPr>
          <w:trHeight w:val="27"/>
        </w:trPr>
        <w:tc>
          <w:tcPr>
            <w:tcW w:w="4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22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disaggregate our revenue by geographic area and service offering. Our revenue disaggregated by geographical area, based on sales office location,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97"/>
              </w:rPr>
              <w:t>Three Months Ended March 31, 2020</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080" w:type="dxa"/>
            <w:vAlign w:val="bottom"/>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5"/>
                <w:szCs w:val="15"/>
                <w:color w:val="auto"/>
              </w:rPr>
            </w:pPr>
          </w:p>
        </w:tc>
        <w:tc>
          <w:tcPr>
            <w:tcW w:w="1280" w:type="dxa"/>
            <w:vAlign w:val="bottom"/>
            <w:vMerge w:val="restart"/>
          </w:tcPr>
          <w:p>
            <w:pPr>
              <w:jc w:val="right"/>
              <w:ind w:right="152"/>
              <w:spacing w:after="0"/>
              <w:rPr>
                <w:sz w:val="20"/>
                <w:szCs w:val="20"/>
                <w:color w:val="auto"/>
              </w:rPr>
            </w:pPr>
            <w:r>
              <w:rPr>
                <w:rFonts w:ascii="Arial" w:cs="Arial" w:eastAsia="Arial" w:hAnsi="Arial"/>
                <w:sz w:val="15"/>
                <w:szCs w:val="15"/>
                <w:b w:val="1"/>
                <w:bCs w:val="1"/>
                <w:color w:val="auto"/>
                <w:w w:val="96"/>
              </w:rPr>
              <w:t>Transportation</w:t>
            </w:r>
          </w:p>
        </w:tc>
        <w:tc>
          <w:tcPr>
            <w:tcW w:w="10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vMerge w:val="restart"/>
          </w:tcPr>
          <w:p>
            <w:pPr>
              <w:jc w:val="right"/>
              <w:ind w:right="440"/>
              <w:spacing w:after="0"/>
              <w:rPr>
                <w:sz w:val="20"/>
                <w:szCs w:val="20"/>
                <w:color w:val="auto"/>
              </w:rPr>
            </w:pPr>
            <w:r>
              <w:rPr>
                <w:rFonts w:ascii="Arial" w:cs="Arial" w:eastAsia="Arial" w:hAnsi="Arial"/>
                <w:sz w:val="15"/>
                <w:szCs w:val="15"/>
                <w:b w:val="1"/>
                <w:bCs w:val="1"/>
                <w:color w:val="auto"/>
              </w:rPr>
              <w:t>Logistics</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Eliminations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vMerge w:val="restart"/>
          </w:tcPr>
          <w:p>
            <w:pPr>
              <w:jc w:val="right"/>
              <w:ind w:right="472"/>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89"/>
        </w:trPr>
        <w:tc>
          <w:tcPr>
            <w:tcW w:w="49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gridSpan w:val="3"/>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0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spacing w:after="0"/>
              <w:rPr>
                <w:sz w:val="21"/>
                <w:szCs w:val="21"/>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North America (excluding United States)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0"/>
              <w:spacing w:after="0"/>
              <w:rPr>
                <w:sz w:val="20"/>
                <w:szCs w:val="20"/>
                <w:color w:val="auto"/>
              </w:rPr>
            </w:pPr>
            <w:r>
              <w:rPr>
                <w:rFonts w:ascii="Arial" w:cs="Arial" w:eastAsia="Arial" w:hAnsi="Arial"/>
                <w:sz w:val="18"/>
                <w:szCs w:val="18"/>
                <w:color w:val="auto"/>
              </w:rPr>
              <w:t>France</w:t>
            </w:r>
          </w:p>
        </w:tc>
        <w:tc>
          <w:tcPr>
            <w:tcW w:w="18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United Kingdom</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0"/>
              <w:spacing w:after="0"/>
              <w:rPr>
                <w:sz w:val="20"/>
                <w:szCs w:val="20"/>
                <w:color w:val="auto"/>
              </w:rPr>
            </w:pPr>
            <w:r>
              <w:rPr>
                <w:rFonts w:ascii="Arial" w:cs="Arial" w:eastAsia="Arial" w:hAnsi="Arial"/>
                <w:sz w:val="18"/>
                <w:szCs w:val="18"/>
                <w:color w:val="auto"/>
              </w:rPr>
              <w:t>Europe (excluding France and United Kingdom)</w:t>
            </w:r>
          </w:p>
        </w:tc>
        <w:tc>
          <w:tcPr>
            <w:tcW w:w="18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97"/>
              </w:rPr>
              <w:t>Three Months Ended March 31, 2019</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5080" w:type="dxa"/>
            <w:vAlign w:val="bottom"/>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5"/>
                <w:szCs w:val="15"/>
                <w:color w:val="auto"/>
              </w:rPr>
            </w:pPr>
          </w:p>
        </w:tc>
        <w:tc>
          <w:tcPr>
            <w:tcW w:w="1280" w:type="dxa"/>
            <w:vAlign w:val="bottom"/>
            <w:vMerge w:val="restart"/>
          </w:tcPr>
          <w:p>
            <w:pPr>
              <w:jc w:val="right"/>
              <w:ind w:right="152"/>
              <w:spacing w:after="0"/>
              <w:rPr>
                <w:sz w:val="20"/>
                <w:szCs w:val="20"/>
                <w:color w:val="auto"/>
              </w:rPr>
            </w:pPr>
            <w:r>
              <w:rPr>
                <w:rFonts w:ascii="Arial" w:cs="Arial" w:eastAsia="Arial" w:hAnsi="Arial"/>
                <w:sz w:val="15"/>
                <w:szCs w:val="15"/>
                <w:b w:val="1"/>
                <w:bCs w:val="1"/>
                <w:color w:val="auto"/>
                <w:w w:val="96"/>
              </w:rPr>
              <w:t>Transportation</w:t>
            </w:r>
          </w:p>
        </w:tc>
        <w:tc>
          <w:tcPr>
            <w:tcW w:w="10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vMerge w:val="restart"/>
          </w:tcPr>
          <w:p>
            <w:pPr>
              <w:jc w:val="right"/>
              <w:ind w:right="440"/>
              <w:spacing w:after="0"/>
              <w:rPr>
                <w:sz w:val="20"/>
                <w:szCs w:val="20"/>
                <w:color w:val="auto"/>
              </w:rPr>
            </w:pPr>
            <w:r>
              <w:rPr>
                <w:rFonts w:ascii="Arial" w:cs="Arial" w:eastAsia="Arial" w:hAnsi="Arial"/>
                <w:sz w:val="15"/>
                <w:szCs w:val="15"/>
                <w:b w:val="1"/>
                <w:bCs w:val="1"/>
                <w:color w:val="auto"/>
              </w:rPr>
              <w:t>Logistics</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Eliminations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vMerge w:val="restart"/>
          </w:tcPr>
          <w:p>
            <w:pPr>
              <w:jc w:val="right"/>
              <w:ind w:right="472"/>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89"/>
        </w:trPr>
        <w:tc>
          <w:tcPr>
            <w:tcW w:w="49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gridSpan w:val="3"/>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0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spacing w:after="0"/>
              <w:rPr>
                <w:sz w:val="21"/>
                <w:szCs w:val="21"/>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7"/>
        </w:trPr>
        <w:tc>
          <w:tcPr>
            <w:tcW w:w="5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North America (excluding United States)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0"/>
              <w:spacing w:after="0"/>
              <w:rPr>
                <w:sz w:val="20"/>
                <w:szCs w:val="20"/>
                <w:color w:val="auto"/>
              </w:rPr>
            </w:pPr>
            <w:r>
              <w:rPr>
                <w:rFonts w:ascii="Arial" w:cs="Arial" w:eastAsia="Arial" w:hAnsi="Arial"/>
                <w:sz w:val="18"/>
                <w:szCs w:val="18"/>
                <w:color w:val="auto"/>
              </w:rPr>
              <w:t>France</w:t>
            </w:r>
          </w:p>
        </w:tc>
        <w:tc>
          <w:tcPr>
            <w:tcW w:w="18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5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United Kingdom</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0"/>
              <w:spacing w:after="0"/>
              <w:rPr>
                <w:sz w:val="20"/>
                <w:szCs w:val="20"/>
                <w:color w:val="auto"/>
              </w:rPr>
            </w:pPr>
            <w:r>
              <w:rPr>
                <w:rFonts w:ascii="Arial" w:cs="Arial" w:eastAsia="Arial" w:hAnsi="Arial"/>
                <w:sz w:val="18"/>
                <w:szCs w:val="18"/>
                <w:color w:val="auto"/>
              </w:rPr>
              <w:t>Europe (excluding France and United Kingdom)</w:t>
            </w:r>
          </w:p>
        </w:tc>
        <w:tc>
          <w:tcPr>
            <w:tcW w:w="18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7"/>
        </w:trPr>
        <w:tc>
          <w:tcPr>
            <w:tcW w:w="5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7"/>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Our revenue disaggregated by service offering was as follows:</w:t>
            </w: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0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gridSpan w:val="7"/>
          </w:tcPr>
          <w:p>
            <w:pPr>
              <w:jc w:val="right"/>
              <w:ind w:right="532"/>
              <w:spacing w:after="0"/>
              <w:rPr>
                <w:sz w:val="20"/>
                <w:szCs w:val="20"/>
                <w:color w:val="auto"/>
              </w:rPr>
            </w:pPr>
            <w:r>
              <w:rPr>
                <w:rFonts w:ascii="Arial" w:cs="Arial" w:eastAsia="Arial" w:hAnsi="Arial"/>
                <w:sz w:val="16"/>
                <w:szCs w:val="16"/>
                <w:b w:val="1"/>
                <w:bCs w:val="1"/>
                <w:color w:val="auto"/>
                <w:w w:val="94"/>
              </w:rPr>
              <w:t>Three Months Ended March 31,</w:t>
            </w:r>
          </w:p>
        </w:tc>
        <w:tc>
          <w:tcPr>
            <w:tcW w:w="0" w:type="dxa"/>
            <w:vAlign w:val="bottom"/>
          </w:tcPr>
          <w:p>
            <w:pPr>
              <w:spacing w:after="0"/>
              <w:rPr>
                <w:sz w:val="1"/>
                <w:szCs w:val="1"/>
                <w:color w:val="auto"/>
              </w:rPr>
            </w:pPr>
          </w:p>
        </w:tc>
      </w:tr>
      <w:tr>
        <w:trPr>
          <w:trHeight w:val="33"/>
        </w:trPr>
        <w:tc>
          <w:tcPr>
            <w:tcW w:w="5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2"/>
              <w:spacing w:after="0"/>
              <w:rPr>
                <w:sz w:val="20"/>
                <w:szCs w:val="20"/>
                <w:color w:val="auto"/>
              </w:rPr>
            </w:pPr>
            <w:r>
              <w:rPr>
                <w:rFonts w:ascii="Arial" w:cs="Arial" w:eastAsia="Arial" w:hAnsi="Arial"/>
                <w:sz w:val="15"/>
                <w:szCs w:val="15"/>
                <w:b w:val="1"/>
                <w:bCs w:val="1"/>
                <w:color w:val="auto"/>
              </w:rPr>
              <w:t>2020</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Transportation segment: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380"/>
              <w:spacing w:after="0"/>
              <w:rPr>
                <w:sz w:val="20"/>
                <w:szCs w:val="20"/>
                <w:color w:val="auto"/>
              </w:rPr>
            </w:pPr>
            <w:r>
              <w:rPr>
                <w:rFonts w:ascii="Arial" w:cs="Arial" w:eastAsia="Arial" w:hAnsi="Arial"/>
                <w:sz w:val="18"/>
                <w:szCs w:val="18"/>
                <w:color w:val="auto"/>
              </w:rPr>
              <w:t>Freight brokerage and truckload</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1,023</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7"/>
        </w:trPr>
        <w:tc>
          <w:tcPr>
            <w:tcW w:w="5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LTL</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70"/>
        </w:trPr>
        <w:tc>
          <w:tcPr>
            <w:tcW w:w="508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 xml:space="preserve">Last mile </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Managed transportation</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5080" w:type="dxa"/>
            <w:vAlign w:val="bottom"/>
            <w:gridSpan w:val="2"/>
          </w:tcPr>
          <w:p>
            <w:pPr>
              <w:ind w:left="380"/>
              <w:spacing w:after="0"/>
              <w:rPr>
                <w:sz w:val="20"/>
                <w:szCs w:val="20"/>
                <w:color w:val="auto"/>
              </w:rPr>
            </w:pPr>
            <w:r>
              <w:rPr>
                <w:rFonts w:ascii="Arial" w:cs="Arial" w:eastAsia="Arial" w:hAnsi="Arial"/>
                <w:sz w:val="18"/>
                <w:szCs w:val="18"/>
                <w:color w:val="auto"/>
              </w:rPr>
              <w:t>Global forwarding</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5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Transportation eliminations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Total Transportation segment revenue</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2,459</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7"/>
        </w:trPr>
        <w:tc>
          <w:tcPr>
            <w:tcW w:w="5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Logistics segment revenue</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Intersegment eliminations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Comprised of our North American last mile operations.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22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Remaining performance obligations represent firm contracts for which services have not been performed and future revenue recognition is expected. As permitted in determining the remaining performance obligation, we omit obligations that: (i) have original expected durations of one year or less or (ii) contain variable consideration. On March 31, 2020, the fixed consideration component of our remaining performance obligation was approximately $1.7 billion, and we expect to recognize approximately 70% of that amount over the next three years and the remainder thereafter. The majority of the remaining performance obligation relates to our Logistics reportable segment. We estimate remaining performance obligations at a point in time and actual amounts may differ from these estimates due to changes in foreign currency exchange rates and contract revisions or terminations.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Charges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engage in restructuring actions as part of our ongoing efforts to best use our resources and infrastructure. These actions generally include severance and facility-related costs and are intended to improve our efficiency and profitability.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were recorded on our Condensed Consolidated Statements of Income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3"/>
          </w:tcPr>
          <w:p>
            <w:pPr>
              <w:jc w:val="right"/>
              <w:ind w:right="378"/>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16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transportation and services</w:t>
            </w:r>
          </w:p>
        </w:tc>
        <w:tc>
          <w:tcPr>
            <w:tcW w:w="1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98"/>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280" w:type="dxa"/>
            <w:vAlign w:val="bottom"/>
            <w:gridSpan w:val="2"/>
          </w:tcPr>
          <w:p>
            <w:pPr>
              <w:ind w:left="40"/>
              <w:spacing w:after="0"/>
              <w:rPr>
                <w:sz w:val="20"/>
                <w:szCs w:val="20"/>
                <w:color w:val="auto"/>
              </w:rPr>
            </w:pPr>
            <w:r>
              <w:rPr>
                <w:rFonts w:ascii="Arial" w:cs="Arial" w:eastAsia="Arial" w:hAnsi="Arial"/>
                <w:sz w:val="18"/>
                <w:szCs w:val="18"/>
                <w:color w:val="auto"/>
                <w:w w:val="94"/>
              </w:rPr>
              <w:t>Sales, general and administrative expense</w:t>
            </w: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6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198"/>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920" w:type="dxa"/>
            <w:vAlign w:val="bottom"/>
            <w:gridSpan w:val="3"/>
            <w:vMerge w:val="restart"/>
          </w:tcPr>
          <w:p>
            <w:pPr>
              <w:spacing w:after="0"/>
              <w:rPr>
                <w:sz w:val="20"/>
                <w:szCs w:val="20"/>
                <w:color w:val="auto"/>
              </w:rPr>
            </w:pPr>
            <w:r>
              <w:rPr>
                <w:rFonts w:ascii="Arial" w:cs="Arial" w:eastAsia="Arial" w:hAnsi="Arial"/>
                <w:sz w:val="18"/>
                <w:szCs w:val="18"/>
                <w:color w:val="auto"/>
              </w:rPr>
              <w:t>Our restructuring-related activity was as follows:</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9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5"/>
          </w:tcPr>
          <w:p>
            <w:pPr>
              <w:jc w:val="right"/>
              <w:ind w:right="695"/>
              <w:spacing w:after="0"/>
              <w:rPr>
                <w:sz w:val="20"/>
                <w:szCs w:val="20"/>
                <w:color w:val="auto"/>
              </w:rPr>
            </w:pPr>
            <w:r>
              <w:rPr>
                <w:rFonts w:ascii="Arial" w:cs="Arial" w:eastAsia="Arial" w:hAnsi="Arial"/>
                <w:sz w:val="14"/>
                <w:szCs w:val="14"/>
                <w:b w:val="1"/>
                <w:bCs w:val="1"/>
                <w:color w:val="auto"/>
              </w:rPr>
              <w:t>Three Months Ended March 31, 2020</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Reserve Balance as of</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Charges Incurred</w:t>
            </w:r>
          </w:p>
        </w:tc>
        <w:tc>
          <w:tcPr>
            <w:tcW w:w="100" w:type="dxa"/>
            <w:vAlign w:val="bottom"/>
            <w:vMerge w:val="restart"/>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Payments</w:t>
            </w:r>
          </w:p>
        </w:tc>
        <w:tc>
          <w:tcPr>
            <w:tcW w:w="120" w:type="dxa"/>
            <w:vAlign w:val="bottom"/>
            <w:vMerge w:val="restart"/>
          </w:tcPr>
          <w:p>
            <w:pPr>
              <w:spacing w:after="0"/>
              <w:rPr>
                <w:sz w:val="12"/>
                <w:szCs w:val="12"/>
                <w:color w:val="auto"/>
              </w:rPr>
            </w:pPr>
          </w:p>
        </w:tc>
        <w:tc>
          <w:tcPr>
            <w:tcW w:w="190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w w:val="93"/>
              </w:rPr>
              <w:t>Reserve Balance as of March</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31, 2020</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Severance:</w:t>
            </w:r>
          </w:p>
        </w:tc>
        <w:tc>
          <w:tcPr>
            <w:tcW w:w="1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gridSpan w:val="2"/>
          </w:tcPr>
          <w:p>
            <w:pPr>
              <w:ind w:left="280"/>
              <w:spacing w:after="0"/>
              <w:rPr>
                <w:sz w:val="20"/>
                <w:szCs w:val="20"/>
                <w:color w:val="auto"/>
              </w:rPr>
            </w:pPr>
            <w:r>
              <w:rPr>
                <w:rFonts w:ascii="Arial" w:cs="Arial" w:eastAsia="Arial" w:hAnsi="Arial"/>
                <w:sz w:val="18"/>
                <w:szCs w:val="18"/>
                <w:color w:val="auto"/>
              </w:rPr>
              <w:t>Transportation</w:t>
            </w:r>
          </w:p>
        </w:tc>
        <w:tc>
          <w:tcPr>
            <w:tcW w:w="1640" w:type="dxa"/>
            <w:vAlign w:val="bottom"/>
          </w:tcPr>
          <w:p>
            <w:pPr>
              <w:jc w:val="right"/>
              <w:ind w:right="1439"/>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12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0" w:type="dxa"/>
            <w:vAlign w:val="bottom"/>
          </w:tcPr>
          <w:p>
            <w:pPr>
              <w:jc w:val="right"/>
              <w:ind w:right="1198"/>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Logistics</w:t>
            </w:r>
          </w:p>
        </w:tc>
        <w:tc>
          <w:tcPr>
            <w:tcW w:w="1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280" w:type="dxa"/>
            <w:vAlign w:val="bottom"/>
            <w:gridSpan w:val="2"/>
          </w:tcPr>
          <w:p>
            <w:pPr>
              <w:ind w:left="280"/>
              <w:spacing w:after="0"/>
              <w:rPr>
                <w:sz w:val="20"/>
                <w:szCs w:val="20"/>
                <w:color w:val="auto"/>
              </w:rPr>
            </w:pPr>
            <w:r>
              <w:rPr>
                <w:rFonts w:ascii="Arial" w:cs="Arial" w:eastAsia="Arial" w:hAnsi="Arial"/>
                <w:sz w:val="18"/>
                <w:szCs w:val="18"/>
                <w:color w:val="auto"/>
              </w:rPr>
              <w:t>Corporate</w:t>
            </w:r>
          </w:p>
        </w:tc>
        <w:tc>
          <w:tcPr>
            <w:tcW w:w="164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640" w:type="dxa"/>
            <w:vAlign w:val="bottom"/>
            <w:tcBorders>
              <w:bottom w:val="single" w:sz="8" w:color="auto"/>
            </w:tcBorders>
            <w:shd w:val="clear" w:color="auto" w:fill="CCEEFF"/>
          </w:tcPr>
          <w:p>
            <w:pPr>
              <w:jc w:val="right"/>
              <w:ind w:right="1439"/>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198"/>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expect the majority of the cash outlays related to the charges incurred in the first quarter of 2020 will be complete within twelve months.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normal course of business, we are exposed to risks arising from business operations and economic factors, including fluctuations in interest rates and foreign currencies. We use derivative instruments to manage the volatility related to these exposures. The objective of these derivative instruments is to reduce fluctuations in our earnings and cash flows associated with changes in foreign currency exchange rates and interest rates. These financial instruments are not used for trading or other speculative purposes. Historically, we have not incurred, and do not expect to incur in the future, any losses as a result of counterparty default.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22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derivative instruments and the related notional amounts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6"/>
              </w:rPr>
              <w:t>March 31, 2020</w:t>
            </w:r>
          </w:p>
        </w:tc>
        <w:tc>
          <w:tcPr>
            <w:tcW w:w="2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b w:val="1"/>
                <w:bCs w:val="1"/>
                <w:color w:val="auto"/>
                <w:w w:val="90"/>
              </w:rPr>
              <w:t>Derivative Assets</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Derivative Liabilities</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Notional</w:t>
            </w: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Balance Sheet Caption</w:t>
            </w:r>
          </w:p>
        </w:tc>
        <w:tc>
          <w:tcPr>
            <w:tcW w:w="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Fair Value</w:t>
            </w:r>
          </w:p>
        </w:tc>
        <w:tc>
          <w:tcPr>
            <w:tcW w:w="120" w:type="dxa"/>
            <w:vAlign w:val="bottom"/>
            <w:vMerge w:val="restart"/>
          </w:tcPr>
          <w:p>
            <w:pPr>
              <w:spacing w:after="0"/>
              <w:rPr>
                <w:sz w:val="12"/>
                <w:szCs w:val="12"/>
                <w:color w:val="auto"/>
              </w:rPr>
            </w:pPr>
          </w:p>
        </w:tc>
        <w:tc>
          <w:tcPr>
            <w:tcW w:w="240" w:type="dxa"/>
            <w:vAlign w:val="bottom"/>
            <w:vMerge w:val="restart"/>
          </w:tcPr>
          <w:p>
            <w:pPr>
              <w:spacing w:after="0"/>
              <w:rPr>
                <w:sz w:val="12"/>
                <w:szCs w:val="12"/>
                <w:color w:val="auto"/>
              </w:rPr>
            </w:pPr>
          </w:p>
        </w:tc>
        <w:tc>
          <w:tcPr>
            <w:tcW w:w="200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w w:val="90"/>
              </w:rPr>
              <w:t>Balance Sheet Caption</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Derivatives designated as hedges: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840" w:type="dxa"/>
            <w:vAlign w:val="bottom"/>
            <w:gridSpan w:val="2"/>
          </w:tcPr>
          <w:p>
            <w:pPr>
              <w:ind w:left="180"/>
              <w:spacing w:after="0"/>
              <w:rPr>
                <w:sz w:val="20"/>
                <w:szCs w:val="20"/>
                <w:color w:val="auto"/>
              </w:rPr>
            </w:pPr>
            <w:r>
              <w:rPr>
                <w:rFonts w:ascii="Arial" w:cs="Arial" w:eastAsia="Arial" w:hAnsi="Arial"/>
                <w:sz w:val="14"/>
                <w:szCs w:val="14"/>
                <w:color w:val="auto"/>
              </w:rPr>
              <w:t>Cross-currency swap agreements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8"/>
                <w:szCs w:val="18"/>
                <w:color w:val="auto"/>
              </w:rPr>
            </w:pPr>
          </w:p>
        </w:tc>
        <w:tc>
          <w:tcPr>
            <w:tcW w:w="206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Other current assets</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210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Other current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53"/>
        </w:trPr>
        <w:tc>
          <w:tcPr>
            <w:tcW w:w="3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Cross-currency swap agreements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1,083</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1"/>
              </w:rPr>
              <w:t>Other long-term assets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4"/>
                <w:szCs w:val="14"/>
                <w:color w:val="auto"/>
                <w:w w:val="96"/>
              </w:rPr>
              <w:t>Other long-term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840" w:type="dxa"/>
            <w:vAlign w:val="bottom"/>
            <w:gridSpan w:val="2"/>
          </w:tcPr>
          <w:p>
            <w:pPr>
              <w:ind w:left="40"/>
              <w:spacing w:after="0"/>
              <w:rPr>
                <w:sz w:val="20"/>
                <w:szCs w:val="20"/>
                <w:color w:val="auto"/>
              </w:rPr>
            </w:pPr>
            <w:r>
              <w:rPr>
                <w:rFonts w:ascii="Arial" w:cs="Arial" w:eastAsia="Arial" w:hAnsi="Arial"/>
                <w:sz w:val="14"/>
                <w:szCs w:val="14"/>
                <w:color w:val="auto"/>
              </w:rPr>
              <w:t>Derivatives not designated as hedges: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Foreign currency option contracts</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89"/>
              </w:rPr>
              <w:t>Other current assets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4"/>
                <w:szCs w:val="14"/>
                <w:color w:val="auto"/>
                <w:w w:val="96"/>
              </w:rPr>
              <w:t>Other current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84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9"/>
        </w:trPr>
        <w:tc>
          <w:tcPr>
            <w:tcW w:w="3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1"/>
              </w:rPr>
              <w:t>December 31, 2019</w:t>
            </w:r>
          </w:p>
        </w:tc>
        <w:tc>
          <w:tcPr>
            <w:tcW w:w="2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b w:val="1"/>
                <w:bCs w:val="1"/>
                <w:color w:val="auto"/>
                <w:w w:val="90"/>
              </w:rPr>
              <w:t>Derivative Assets</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Derivative Liabilities</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Notional</w:t>
            </w: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Balance Sheet Caption</w:t>
            </w:r>
          </w:p>
        </w:tc>
        <w:tc>
          <w:tcPr>
            <w:tcW w:w="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Fair Value</w:t>
            </w:r>
          </w:p>
        </w:tc>
        <w:tc>
          <w:tcPr>
            <w:tcW w:w="120" w:type="dxa"/>
            <w:vAlign w:val="bottom"/>
            <w:vMerge w:val="restart"/>
          </w:tcPr>
          <w:p>
            <w:pPr>
              <w:spacing w:after="0"/>
              <w:rPr>
                <w:sz w:val="12"/>
                <w:szCs w:val="12"/>
                <w:color w:val="auto"/>
              </w:rPr>
            </w:pPr>
          </w:p>
        </w:tc>
        <w:tc>
          <w:tcPr>
            <w:tcW w:w="240" w:type="dxa"/>
            <w:vAlign w:val="bottom"/>
            <w:vMerge w:val="restart"/>
          </w:tcPr>
          <w:p>
            <w:pPr>
              <w:spacing w:after="0"/>
              <w:rPr>
                <w:sz w:val="12"/>
                <w:szCs w:val="12"/>
                <w:color w:val="auto"/>
              </w:rPr>
            </w:pPr>
          </w:p>
        </w:tc>
        <w:tc>
          <w:tcPr>
            <w:tcW w:w="200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w w:val="90"/>
              </w:rPr>
              <w:t>Balance Sheet Caption</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Derivatives designated as hedges: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840" w:type="dxa"/>
            <w:vAlign w:val="bottom"/>
            <w:gridSpan w:val="2"/>
          </w:tcPr>
          <w:p>
            <w:pPr>
              <w:ind w:left="180"/>
              <w:spacing w:after="0"/>
              <w:rPr>
                <w:sz w:val="20"/>
                <w:szCs w:val="20"/>
                <w:color w:val="auto"/>
              </w:rPr>
            </w:pPr>
            <w:r>
              <w:rPr>
                <w:rFonts w:ascii="Arial" w:cs="Arial" w:eastAsia="Arial" w:hAnsi="Arial"/>
                <w:sz w:val="14"/>
                <w:szCs w:val="14"/>
                <w:color w:val="auto"/>
              </w:rPr>
              <w:t>Cross-currency swap agreements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1,233</w:t>
            </w:r>
          </w:p>
        </w:tc>
        <w:tc>
          <w:tcPr>
            <w:tcW w:w="120" w:type="dxa"/>
            <w:vAlign w:val="bottom"/>
          </w:tcPr>
          <w:p>
            <w:pPr>
              <w:spacing w:after="0"/>
              <w:rPr>
                <w:sz w:val="18"/>
                <w:szCs w:val="18"/>
                <w:color w:val="auto"/>
              </w:rPr>
            </w:pPr>
          </w:p>
        </w:tc>
        <w:tc>
          <w:tcPr>
            <w:tcW w:w="206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Other long-term assets</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210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Other long-term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53"/>
        </w:trPr>
        <w:tc>
          <w:tcPr>
            <w:tcW w:w="38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6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3"/>
          </w:tcPr>
          <w:p>
            <w:pPr>
              <w:spacing w:after="0"/>
              <w:rPr>
                <w:sz w:val="4"/>
                <w:szCs w:val="4"/>
                <w:color w:val="auto"/>
              </w:rPr>
            </w:pPr>
          </w:p>
        </w:tc>
        <w:tc>
          <w:tcPr>
            <w:tcW w:w="21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Interest rate swap</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2,003</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89"/>
              </w:rPr>
              <w:t>Other current assets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4"/>
                <w:szCs w:val="14"/>
                <w:color w:val="auto"/>
                <w:w w:val="96"/>
              </w:rPr>
              <w:t>Other 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7"/>
        </w:trPr>
        <w:tc>
          <w:tcPr>
            <w:tcW w:w="3840" w:type="dxa"/>
            <w:vAlign w:val="bottom"/>
            <w:gridSpan w:val="2"/>
          </w:tcPr>
          <w:p>
            <w:pPr>
              <w:ind w:left="40"/>
              <w:spacing w:after="0"/>
              <w:rPr>
                <w:sz w:val="20"/>
                <w:szCs w:val="20"/>
                <w:color w:val="auto"/>
              </w:rPr>
            </w:pPr>
            <w:r>
              <w:rPr>
                <w:rFonts w:ascii="Arial" w:cs="Arial" w:eastAsia="Arial" w:hAnsi="Arial"/>
                <w:sz w:val="14"/>
                <w:szCs w:val="14"/>
                <w:color w:val="auto"/>
              </w:rPr>
              <w:t>Derivatives not designated as hedges: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8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6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Foreign currency option contracts</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365</w:t>
            </w: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89"/>
              </w:rPr>
              <w:t>Other current assets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4"/>
                <w:szCs w:val="14"/>
                <w:color w:val="auto"/>
                <w:w w:val="96"/>
              </w:rPr>
              <w:t>Other current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84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39"/>
        </w:trPr>
        <w:tc>
          <w:tcPr>
            <w:tcW w:w="3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derivatives are classified as Level 2 within the fair value hierarchy. The derivatives are valued using inputs other than quoted prices such as foreign exchange rates and yield curves.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effect of derivative and nonderivative instruments designated as hedges on our Condensed Consolidated Statements of Income were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ind w:left="40"/>
              <w:spacing w:after="0"/>
              <w:rPr>
                <w:sz w:val="20"/>
                <w:szCs w:val="20"/>
                <w:color w:val="auto"/>
              </w:rPr>
            </w:pPr>
            <w:r>
              <w:rPr>
                <w:rFonts w:ascii="Arial" w:cs="Arial" w:eastAsia="Arial" w:hAnsi="Arial"/>
                <w:sz w:val="14"/>
                <w:szCs w:val="14"/>
                <w:b w:val="1"/>
                <w:bCs w:val="1"/>
                <w:color w:val="auto"/>
                <w:w w:val="95"/>
              </w:rPr>
              <w:t>Amount of Gain (Loss) Recognized</w:t>
            </w:r>
          </w:p>
        </w:tc>
        <w:tc>
          <w:tcPr>
            <w:tcW w:w="198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w w:val="98"/>
              </w:rPr>
              <w:t>Amount of Gain Reclassified</w:t>
            </w:r>
          </w:p>
        </w:tc>
        <w:tc>
          <w:tcPr>
            <w:tcW w:w="100" w:type="dxa"/>
            <w:vAlign w:val="bottom"/>
          </w:tcPr>
          <w:p>
            <w:pPr>
              <w:spacing w:after="0"/>
              <w:rPr>
                <w:sz w:val="14"/>
                <w:szCs w:val="14"/>
                <w:color w:val="auto"/>
              </w:rPr>
            </w:pPr>
          </w:p>
        </w:tc>
        <w:tc>
          <w:tcPr>
            <w:tcW w:w="2680" w:type="dxa"/>
            <w:vAlign w:val="bottom"/>
            <w:gridSpan w:val="4"/>
          </w:tcPr>
          <w:p>
            <w:pPr>
              <w:jc w:val="center"/>
              <w:ind w:right="8"/>
              <w:spacing w:after="0"/>
              <w:rPr>
                <w:sz w:val="20"/>
                <w:szCs w:val="20"/>
                <w:color w:val="auto"/>
              </w:rPr>
            </w:pPr>
            <w:r>
              <w:rPr>
                <w:rFonts w:ascii="Arial" w:cs="Arial" w:eastAsia="Arial" w:hAnsi="Arial"/>
                <w:sz w:val="14"/>
                <w:szCs w:val="14"/>
                <w:b w:val="1"/>
                <w:bCs w:val="1"/>
                <w:color w:val="auto"/>
                <w:w w:val="92"/>
              </w:rPr>
              <w:t>Amount of Gain Recognized in Income on</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 Other Comprehensive Income</w:t>
            </w:r>
          </w:p>
        </w:tc>
        <w:tc>
          <w:tcPr>
            <w:tcW w:w="198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Derivative (Amount Excluded from</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1"/>
              </w:rPr>
              <w:t>on Derivatives</w:t>
            </w:r>
          </w:p>
        </w:tc>
        <w:tc>
          <w:tcPr>
            <w:tcW w:w="19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from AOCI into Net Income</w:t>
            </w: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center"/>
              <w:ind w:right="8"/>
              <w:spacing w:after="0"/>
              <w:rPr>
                <w:sz w:val="20"/>
                <w:szCs w:val="20"/>
                <w:color w:val="auto"/>
              </w:rPr>
            </w:pPr>
            <w:r>
              <w:rPr>
                <w:rFonts w:ascii="Arial" w:cs="Arial" w:eastAsia="Arial" w:hAnsi="Arial"/>
                <w:sz w:val="14"/>
                <w:szCs w:val="14"/>
                <w:b w:val="1"/>
                <w:bCs w:val="1"/>
                <w:color w:val="auto"/>
                <w:w w:val="88"/>
              </w:rPr>
              <w:t>Effectiveness Testing)</w:t>
            </w:r>
          </w:p>
        </w:tc>
        <w:tc>
          <w:tcPr>
            <w:tcW w:w="0" w:type="dxa"/>
            <w:vAlign w:val="bottom"/>
          </w:tcPr>
          <w:p>
            <w:pPr>
              <w:spacing w:after="0"/>
              <w:rPr>
                <w:sz w:val="1"/>
                <w:szCs w:val="1"/>
                <w:color w:val="auto"/>
              </w:rPr>
            </w:pPr>
          </w:p>
        </w:tc>
      </w:tr>
      <w:tr>
        <w:trPr>
          <w:trHeight w:val="250"/>
        </w:trPr>
        <w:tc>
          <w:tcPr>
            <w:tcW w:w="4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9"/>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Derivatives designated as cash flow hedges:</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180" w:type="dxa"/>
            <w:vAlign w:val="bottom"/>
            <w:gridSpan w:val="2"/>
          </w:tcPr>
          <w:p>
            <w:pPr>
              <w:ind w:left="180"/>
              <w:spacing w:after="0"/>
              <w:rPr>
                <w:sz w:val="20"/>
                <w:szCs w:val="20"/>
                <w:color w:val="auto"/>
              </w:rPr>
            </w:pPr>
            <w:r>
              <w:rPr>
                <w:rFonts w:ascii="Arial" w:cs="Arial" w:eastAsia="Arial" w:hAnsi="Arial"/>
                <w:sz w:val="14"/>
                <w:szCs w:val="14"/>
                <w:color w:val="auto"/>
              </w:rPr>
              <w:t>Cross-currency swap agreements</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 rate swap</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180" w:type="dxa"/>
            <w:vAlign w:val="bottom"/>
            <w:gridSpan w:val="2"/>
          </w:tcPr>
          <w:p>
            <w:pPr>
              <w:ind w:left="40"/>
              <w:spacing w:after="0"/>
              <w:rPr>
                <w:sz w:val="20"/>
                <w:szCs w:val="20"/>
                <w:color w:val="auto"/>
              </w:rPr>
            </w:pPr>
            <w:r>
              <w:rPr>
                <w:rFonts w:ascii="Arial" w:cs="Arial" w:eastAsia="Arial" w:hAnsi="Arial"/>
                <w:sz w:val="14"/>
                <w:szCs w:val="14"/>
                <w:color w:val="auto"/>
              </w:rPr>
              <w:t>Derivatives designated as net investment hedges:</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Cross-currency swap agreements</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42"/>
        </w:trPr>
        <w:tc>
          <w:tcPr>
            <w:tcW w:w="418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pre-tax gain (loss) recognized in earnings for foreign currency option and forward contracts not designated as hedging instruments was a gain of $4 million and a loss of $2 million for the three months ended March 31, 2020 and 2019, respectively. These amounts are recorded in Foreign currency (gain) loss on our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22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Swap Agreements</w:t>
      </w:r>
    </w:p>
    <w:p>
      <w:pPr>
        <w:spacing w:after="0" w:line="117"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We enter into cross-currency swap agreements to manage the foreign currency exchange risk related to our international operations by effectively converting our fixed-rate U.S. Dollar (“USD”)-denominated debt, including the associated interest payments, to fixed-rate, euro (“EUR”)-denominated debt. The risk management objective of these transactions is to manage foreign currency risk relating to net investments in subsidiaries denominated in foreign currencies and reduce the variability in the functional currency equivalent cash flows of this debt.</w:t>
      </w:r>
    </w:p>
    <w:p>
      <w:pPr>
        <w:spacing w:after="0" w:line="6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During the term of the swap contracts, we will receive interest, either on a quarterly or semi-annual basis, from the counterparties based on USD fixed interest rates, and we will pay interest, also on a quarterly or semi-annual basis, to the counterparties based on EUR fixed interest rates. At maturity, we will repay the original principal amount in EUR and receive the principal amount in USD. These agreements expire at various dates through 2024.</w:t>
      </w:r>
    </w:p>
    <w:p>
      <w:pPr>
        <w:spacing w:after="0" w:line="4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designated these cross-currency swaps as qualifying hedging instruments and account for them as net investment hedges. We apply the simplified method of assessing the effectiveness of our net investment hedging relationships. Under this method, for each reporting period, the change in the fair value of the cross-currency swaps are initially recognized in Accumulated other comprehensive income (“AOCI”). The change in the fair value due to foreign exchange remains in AOCI and the initial component excluded from effectiveness testing will initially remain in AOCI and then will be reclassified from AOCI to Interest expense each period in a systematic manner. For net investment hedges that were de-designated prior to their maturity, the amounts in AOCI will remain in AOCI until the subsidiary is sold or substantially liquidated. Cash flows related to the periodic exchange of interest payments for these net investment hedges are included in Operating activities on our Condensed Consolidated Statements of Cash Flows.</w:t>
      </w:r>
    </w:p>
    <w:p>
      <w:pPr>
        <w:spacing w:after="0" w:line="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also enter into cross-currency swap agreements to manage the related foreign currency exposure from intercompany loans. We designated these cross-currency swaps as qualifying hedging instruments and account for them as cash flow hedges. Gains and losses resulting from the change in the fair value of the cross-currency swaps are initially recognized in AOCI and reclassified to Foreign currency (gain) loss to offset the foreign exchange impact in earnings created by the intercompany loans. Cash flows related to these cash flow hedges are included in Operating activities on our Condensed Consolidated Statements of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execute short-term interest rate swaps to mitigate variability in forecasted interest payments on our Senior Secured Term Loan Credit Agreement (the “Term Loan Credit Agreement”). The interest rate swaps convert floating-rate interest payments into fixed rate interest payments. We designated the interest rate swaps as qualifying hedging instruments and account for these derivatives as cash flow hedges. The interest rate swaps matured in the first quarter of 2020.</w:t>
      </w:r>
    </w:p>
    <w:p>
      <w:pPr>
        <w:spacing w:after="0" w:line="7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record gains and losses resulting from fair value adjustments to the designated portion of interest rate swaps in AOCI and reclassify them to Interest expense on the dates that interest payments accrue. Cash flows related to the interest rate swaps are included in Operating activities on our Condensed Consolidated Statements of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Option and Forward Contracts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use foreign currency option contracts to mitigate the risk of a reduction in the value of earnings from our operations that use the EUR or the British pound sterling as their functional currency. Additionally, we use foreign currency forward contracts to mitigate exposure from intercompany loans that are not designated as permanent and can create volatility in earnings. The foreign currency contracts (both option and forward contracts) were not designated as qualifying hedging instruments as of March 31, 2020. The contracts are used to manage our exposure to foreign currency exchange rate fluctuations and are not speculative. The contracts generally expire in 12 months or less. Gains or losses on the contracts are recorded in Foreign currency (gain) loss on our Condensed Consolidated Statements of Income. Cash flows related to the foreign currency contracts are included in Investing activities on our Condensed Consolidated Statements of Cash Flows, consistent with the nature and purpose for which these derivatives were acquired.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22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jc w:val="right"/>
              <w:ind w:right="82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732"/>
              <w:spacing w:after="0"/>
              <w:rPr>
                <w:sz w:val="20"/>
                <w:szCs w:val="20"/>
                <w:color w:val="auto"/>
              </w:rPr>
            </w:pPr>
            <w:r>
              <w:rPr>
                <w:rFonts w:ascii="Arial" w:cs="Arial" w:eastAsia="Arial" w:hAnsi="Arial"/>
                <w:sz w:val="14"/>
                <w:szCs w:val="14"/>
                <w:b w:val="1"/>
                <w:bCs w:val="1"/>
                <w:color w:val="auto"/>
              </w:rPr>
              <w:t>December 31, 2019</w:t>
            </w:r>
          </w:p>
        </w:tc>
      </w:tr>
      <w:tr>
        <w:trPr>
          <w:trHeight w:val="263"/>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2"/>
              </w:rPr>
              <w:t>Principal Balance</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7"/>
              </w:rPr>
              <w:t>Carrying Value</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Balance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9"/>
              </w:rPr>
              <w:t>Carrying Value</w:t>
            </w: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ABL facility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Term loan facility</w:t>
            </w:r>
          </w:p>
        </w:tc>
        <w:tc>
          <w:tcPr>
            <w:tcW w:w="120" w:type="dxa"/>
            <w:vAlign w:val="bottom"/>
          </w:tcPr>
          <w:p>
            <w:pPr>
              <w:spacing w:after="0"/>
              <w:rPr>
                <w:sz w:val="21"/>
                <w:szCs w:val="21"/>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1,969</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6.125% Senior notes due 2023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w:t>
            </w: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6.50% Senior notes due 2022</w:t>
            </w:r>
          </w:p>
        </w:tc>
        <w:tc>
          <w:tcPr>
            <w:tcW w:w="120" w:type="dxa"/>
            <w:vAlign w:val="bottom"/>
          </w:tcPr>
          <w:p>
            <w:pPr>
              <w:spacing w:after="0"/>
              <w:rPr>
                <w:sz w:val="21"/>
                <w:szCs w:val="21"/>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1,192</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6.70% Senior debentures due 2034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6.75% Senior notes due 2024</w:t>
            </w:r>
          </w:p>
        </w:tc>
        <w:tc>
          <w:tcPr>
            <w:tcW w:w="120" w:type="dxa"/>
            <w:vAlign w:val="bottom"/>
          </w:tcPr>
          <w:p>
            <w:pPr>
              <w:spacing w:after="0"/>
              <w:rPr>
                <w:sz w:val="21"/>
                <w:szCs w:val="21"/>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987</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Borrowings related to securitization program</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Finance leases, asset financing and other</w:t>
            </w:r>
          </w:p>
        </w:tc>
        <w:tc>
          <w:tcPr>
            <w:tcW w:w="120" w:type="dxa"/>
            <w:vAlign w:val="bottom"/>
          </w:tcPr>
          <w:p>
            <w:pPr>
              <w:spacing w:after="0"/>
              <w:rPr>
                <w:sz w:val="21"/>
                <w:szCs w:val="21"/>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380</w:t>
            </w:r>
          </w:p>
        </w:tc>
      </w:tr>
      <w:tr>
        <w:trPr>
          <w:trHeight w:val="27"/>
        </w:trPr>
        <w:tc>
          <w:tcPr>
            <w:tcW w:w="5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5,266</w:t>
            </w:r>
          </w:p>
        </w:tc>
      </w:tr>
      <w:tr>
        <w:trPr>
          <w:trHeight w:val="237"/>
        </w:trPr>
        <w:tc>
          <w:tcPr>
            <w:tcW w:w="5520" w:type="dxa"/>
            <w:vAlign w:val="bottom"/>
            <w:gridSpan w:val="2"/>
          </w:tcPr>
          <w:p>
            <w:pPr>
              <w:ind w:left="40"/>
              <w:spacing w:after="0"/>
              <w:rPr>
                <w:sz w:val="20"/>
                <w:szCs w:val="20"/>
                <w:color w:val="auto"/>
              </w:rPr>
            </w:pPr>
            <w:r>
              <w:rPr>
                <w:rFonts w:ascii="Arial" w:cs="Arial" w:eastAsia="Arial" w:hAnsi="Arial"/>
                <w:sz w:val="16"/>
                <w:szCs w:val="16"/>
                <w:color w:val="auto"/>
              </w:rPr>
              <w:t>Short-term borrowings and current maturities of long-term debt</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w:t>
            </w:r>
          </w:p>
        </w:tc>
      </w:tr>
      <w:tr>
        <w:trPr>
          <w:trHeight w:val="27"/>
        </w:trPr>
        <w:tc>
          <w:tcPr>
            <w:tcW w:w="5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5,766</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5,182</w:t>
            </w: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11"/>
        </w:trPr>
        <w:tc>
          <w:tcPr>
            <w:tcW w:w="6980" w:type="dxa"/>
            <w:vAlign w:val="bottom"/>
            <w:gridSpan w:val="7"/>
          </w:tcPr>
          <w:p>
            <w:pPr>
              <w:spacing w:after="0"/>
              <w:rPr>
                <w:sz w:val="20"/>
                <w:szCs w:val="20"/>
                <w:color w:val="auto"/>
              </w:rPr>
            </w:pPr>
            <w:r>
              <w:rPr>
                <w:rFonts w:ascii="Arial" w:cs="Arial" w:eastAsia="Arial" w:hAnsi="Arial"/>
                <w:sz w:val="18"/>
                <w:szCs w:val="18"/>
                <w:color w:val="auto"/>
              </w:rPr>
              <w:t>The fair value of our debt and classification in the fair value hierarchy was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07"/>
        </w:trPr>
        <w:tc>
          <w:tcPr>
            <w:tcW w:w="5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31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Level 2</w:t>
            </w: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March 31, 2020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3,071</w:t>
            </w: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December 31, 2019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2,390</w:t>
            </w:r>
          </w:p>
        </w:tc>
      </w:tr>
    </w:tbl>
    <w:p>
      <w:pPr>
        <w:spacing w:after="0" w:line="33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valued Level 1 debt using quoted prices in active markets. We valued Level 2 debt using bid evaluation pricing models or quoted prices of securities with similar characteristics. The fair value of the asset financing arrangements approximates carrying value as the debt is primarily issued at a floating rate, the debt may be prepaid at any time at par without penalty, and the remaining life of the debt is short-term in nature.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Facility</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of March 31, 2020, we had a borrowing base of $1.0 billion and availability under our revolving loan credit agreement (the “ABL Facility”) of $186 million after considering outstanding letters of credit on the ABL Facility of $214 million. The average interest rate on borrowings at March 31, 2020 was 2.30%. As of March 31, 2020, we were in compliance with the ABL Facility’s financial covenants.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1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In March 2019, we entered into an amendment to our Term Loan Credit Agreement and borrowed an additional $500 million of incremental loans under a new tranche of term loans (the “Incremental Term Loan Facility”), increasing our total borrowing under the Term Loan Facility to $2.0 billion. Proceeds from borrowings under the Incremental Term Loan Facility were used: (i) for general corporate purposes, including to fund purchases of our equity interests described in Note 7—Stockholders’ Equity; and (ii) to pay fees and expenses relating to, or in connection with, the transactions contemplated by the amendment. The incremental loans under the Incremental Term Loan Facility were issued at a price of 99.50% of par.</w:t>
      </w:r>
    </w:p>
    <w:p>
      <w:pPr>
        <w:spacing w:after="0" w:line="53" w:lineRule="exact"/>
        <w:rPr>
          <w:sz w:val="20"/>
          <w:szCs w:val="20"/>
          <w:color w:val="auto"/>
        </w:rPr>
      </w:pPr>
    </w:p>
    <w:p>
      <w:pPr>
        <w:ind w:right="840"/>
        <w:spacing w:after="0" w:line="406" w:lineRule="auto"/>
        <w:rPr>
          <w:sz w:val="20"/>
          <w:szCs w:val="20"/>
          <w:color w:val="auto"/>
        </w:rPr>
      </w:pPr>
      <w:r>
        <w:rPr>
          <w:rFonts w:ascii="Arial" w:cs="Arial" w:eastAsia="Arial" w:hAnsi="Arial"/>
          <w:sz w:val="18"/>
          <w:szCs w:val="18"/>
          <w:color w:val="auto"/>
        </w:rPr>
        <w:t xml:space="preserve">The interest rates on the Term Loan Facility and the Incremental Term Loan Facility were 3.61% and 4.19%, respectively, as of March 31, 2020. </w:t>
      </w:r>
      <w:r>
        <w:rPr>
          <w:rFonts w:ascii="Arial" w:cs="Arial" w:eastAsia="Arial" w:hAnsi="Arial"/>
          <w:sz w:val="18"/>
          <w:szCs w:val="18"/>
          <w:b w:val="1"/>
          <w:bCs w:val="1"/>
          <w:i w:val="1"/>
          <w:iCs w:val="1"/>
          <w:color w:val="auto"/>
        </w:rPr>
        <w:t>Senior Notes due 2024</w:t>
      </w:r>
    </w:p>
    <w:p>
      <w:pPr>
        <w:spacing w:after="0" w:line="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February 2019, we completed a private placement of $1.0 billion aggregate principal amount of senior notes (“Senior Notes due 2024”), which bear interest at a rate of 6.75% per annum. Proceeds from the Senior Notes due 2024 were used to repay our outstanding obligation under an unsecured credit facility and to finance a portion of our share repurchases described in Note 7—Stockholders’ Equity.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22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related to Securitization Program</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trade receivables securitization program permits us to borrow, on an unsecured basis, cash collected in a servicing capacity on previously sold receivables. These borrowings are owed to the program’s Purchasers and are included in short-term debt until they are repaid in the following month’s settlement. The securitization program expires in July 2022 and contains financial covenants customary for this type of arrangement, including maintaining a defined average days sales outstanding ratio. For additional information on the securitization program, see Note 1—Organization, Description of Business and Basis of Presentation.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December 2018, our Board of Directors authorized the repurchase of up to $1 billion of our common stock (the “2018 Program”), which was completed in the first quarter of 2019. The share repurchases were funded by an unsecured credit facility and our available cash.</w:t>
      </w:r>
    </w:p>
    <w:p>
      <w:pPr>
        <w:spacing w:after="0" w:line="6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February 2019, our Board of Directors authorized additional repurchases of up to $1.5 billion of our common stock (the “2019 Program”). The 2019 authorization permits us to purchase shares in both the open market and in private transactions, with the timing and number of shares dependent on a variety of factors, including price, general business conditions, market conditions, alternative investment opportunities and funding considerations. We are not obligated to repurchase any specific number of shares and may suspend or discontinue the program at any time. The share purchases under the 2019 Program were funded by our available cash and proceeds from our 2019 debt offerings.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shares repurchased, based on settlement date,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millions, except per share data)</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 Ended March</w:t>
            </w:r>
          </w:p>
        </w:tc>
        <w:tc>
          <w:tcPr>
            <w:tcW w:w="340" w:type="dxa"/>
            <w:vAlign w:val="bottom"/>
          </w:tcPr>
          <w:p>
            <w:pPr>
              <w:spacing w:after="0"/>
              <w:rPr>
                <w:sz w:val="14"/>
                <w:szCs w:val="14"/>
                <w:color w:val="auto"/>
              </w:rPr>
            </w:pPr>
          </w:p>
        </w:tc>
        <w:tc>
          <w:tcPr>
            <w:tcW w:w="3820" w:type="dxa"/>
            <w:vAlign w:val="bottom"/>
            <w:gridSpan w:val="4"/>
            <w:vMerge w:val="restart"/>
          </w:tcPr>
          <w:p>
            <w:pPr>
              <w:jc w:val="right"/>
              <w:ind w:right="834"/>
              <w:spacing w:after="0"/>
              <w:rPr>
                <w:sz w:val="20"/>
                <w:szCs w:val="20"/>
                <w:color w:val="auto"/>
              </w:rPr>
            </w:pPr>
            <w:r>
              <w:rPr>
                <w:rFonts w:ascii="Arial" w:cs="Arial" w:eastAsia="Arial" w:hAnsi="Arial"/>
                <w:sz w:val="14"/>
                <w:szCs w:val="14"/>
                <w:b w:val="1"/>
                <w:bCs w:val="1"/>
                <w:color w:val="auto"/>
              </w:rPr>
              <w:t>Three Months Ended March 31, 2019</w:t>
            </w:r>
          </w:p>
        </w:tc>
        <w:tc>
          <w:tcPr>
            <w:tcW w:w="0" w:type="dxa"/>
            <w:vAlign w:val="bottom"/>
          </w:tcPr>
          <w:p>
            <w:pPr>
              <w:spacing w:after="0"/>
              <w:rPr>
                <w:sz w:val="1"/>
                <w:szCs w:val="1"/>
                <w:color w:val="auto"/>
              </w:rPr>
            </w:pPr>
          </w:p>
        </w:tc>
      </w:tr>
      <w:tr>
        <w:trPr>
          <w:trHeight w:val="192"/>
        </w:trPr>
        <w:tc>
          <w:tcPr>
            <w:tcW w:w="4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5"/>
              </w:rPr>
              <w:t>31, 2020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2019 Program</w:t>
            </w:r>
          </w:p>
        </w:tc>
        <w:tc>
          <w:tcPr>
            <w:tcW w:w="340" w:type="dxa"/>
            <w:vAlign w:val="bottom"/>
          </w:tcPr>
          <w:p>
            <w:pPr>
              <w:spacing w:after="0"/>
              <w:rPr>
                <w:sz w:val="22"/>
                <w:szCs w:val="22"/>
                <w:color w:val="auto"/>
              </w:rPr>
            </w:pPr>
          </w:p>
        </w:tc>
        <w:tc>
          <w:tcPr>
            <w:tcW w:w="1800" w:type="dxa"/>
            <w:vAlign w:val="bottom"/>
            <w:gridSpan w:val="2"/>
          </w:tcPr>
          <w:p>
            <w:pPr>
              <w:ind w:left="240"/>
              <w:spacing w:after="0"/>
              <w:rPr>
                <w:sz w:val="20"/>
                <w:szCs w:val="20"/>
                <w:color w:val="auto"/>
              </w:rPr>
            </w:pPr>
            <w:r>
              <w:rPr>
                <w:rFonts w:ascii="Arial" w:cs="Arial" w:eastAsia="Arial" w:hAnsi="Arial"/>
                <w:sz w:val="14"/>
                <w:szCs w:val="14"/>
                <w:b w:val="1"/>
                <w:bCs w:val="1"/>
                <w:color w:val="auto"/>
              </w:rPr>
              <w:t>2019 Program</w:t>
            </w:r>
          </w:p>
        </w:tc>
        <w:tc>
          <w:tcPr>
            <w:tcW w:w="340" w:type="dxa"/>
            <w:vAlign w:val="bottom"/>
          </w:tcPr>
          <w:p>
            <w:pPr>
              <w:spacing w:after="0"/>
              <w:rPr>
                <w:sz w:val="22"/>
                <w:szCs w:val="22"/>
                <w:color w:val="auto"/>
              </w:rPr>
            </w:pPr>
          </w:p>
        </w:tc>
        <w:tc>
          <w:tcPr>
            <w:tcW w:w="1680" w:type="dxa"/>
            <w:vAlign w:val="bottom"/>
          </w:tcPr>
          <w:p>
            <w:pPr>
              <w:jc w:val="right"/>
              <w:ind w:right="494"/>
              <w:spacing w:after="0"/>
              <w:rPr>
                <w:sz w:val="20"/>
                <w:szCs w:val="20"/>
                <w:color w:val="auto"/>
              </w:rPr>
            </w:pPr>
            <w:r>
              <w:rPr>
                <w:rFonts w:ascii="Arial" w:cs="Arial" w:eastAsia="Arial" w:hAnsi="Arial"/>
                <w:sz w:val="14"/>
                <w:szCs w:val="14"/>
                <w:b w:val="1"/>
                <w:bCs w:val="1"/>
                <w:color w:val="auto"/>
              </w:rPr>
              <w:t>2018 Program</w:t>
            </w:r>
          </w:p>
        </w:tc>
        <w:tc>
          <w:tcPr>
            <w:tcW w:w="0" w:type="dxa"/>
            <w:vAlign w:val="bottom"/>
          </w:tcPr>
          <w:p>
            <w:pPr>
              <w:spacing w:after="0"/>
              <w:rPr>
                <w:sz w:val="1"/>
                <w:szCs w:val="1"/>
                <w:color w:val="auto"/>
              </w:rPr>
            </w:pPr>
          </w:p>
        </w:tc>
      </w:tr>
      <w:tr>
        <w:trPr>
          <w:trHeight w:val="249"/>
        </w:trPr>
        <w:tc>
          <w:tcPr>
            <w:tcW w:w="49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purchased and retired</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Aggregate value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8"/>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Average price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66.58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59.47</w:t>
            </w:r>
          </w:p>
        </w:tc>
        <w:tc>
          <w:tcPr>
            <w:tcW w:w="0" w:type="dxa"/>
            <w:vAlign w:val="bottom"/>
          </w:tcPr>
          <w:p>
            <w:pPr>
              <w:spacing w:after="0"/>
              <w:rPr>
                <w:sz w:val="1"/>
                <w:szCs w:val="1"/>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Remaining authorization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8"/>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The Series A Convertible Perpetual Preferred Stock pays quarterly cash dividends equal to the greater of: (i) the “as-converted” dividends on our underlying common stock for the relevant quarter; and (ii) 4% of the then-applicable liquidation preference per annum.</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compute basic and diluted earnings per share using the two-class method, which allocates earnings to participating securities. The participating securities consist of our Series A Convertible Perpetual Preferred Stock. The undistributed earnings are allocated between common shares and participating securities as if all earnings had been distributed during the period. Losses are not allocated to the preferred shares.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22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and diluted earnings per share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249"/>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Net income attributable to XPO</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Series A preferred stock dividends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Non-cash allocation of undistributed earnings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shares, 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weighted-average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Basic earnings per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0.40</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8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b w:val="1"/>
                <w:bCs w:val="1"/>
                <w:color w:val="auto"/>
              </w:rPr>
              <w:t>Diluted earnings per common share</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shares, diluted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r>
      <w:tr>
        <w:trPr>
          <w:trHeight w:val="324"/>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weighted-average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Dilutive effect of non-participating stock-based awards and equity forward</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weighted-average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r>
      <w:tr>
        <w:trPr>
          <w:trHeight w:val="324"/>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0.37</w:t>
            </w:r>
          </w:p>
        </w:tc>
      </w:tr>
      <w:tr>
        <w:trPr>
          <w:trHeight w:val="324"/>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3"/>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Potential common shares excluded</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8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Certain shares were not included in the computation of diluted earnings per share because the effect was anti-dilutive.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Legal and Regulatory Matters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involved, and will continue to be involved, in numerous proceedings arising out of the conduct of our business. These proceedings may include claims for property damage or personal injury incurred in connection with the transportation of freight, claims regarding anti-competitive practices, and employment-related claims, including claims involving asserted breaches of employee restrictive covenants. These matters also include numerous putative class action, multi-plaintiff and individual lawsuits, and administrative proceedings that claim either that our owner-operators or contract carriers should be treated as employees, rather than independent contractors, or that some of our drivers were not paid for all compensable time or were not provided with required meal or rest breaks. These lawsuits and proceedings may seek substantial monetary damages (including claims for unpaid wages, overtime, failure to provide meal and rest periods, unreimbursed business expenses and other items), injunctive relief, or both.</w:t>
      </w:r>
    </w:p>
    <w:p>
      <w:pPr>
        <w:spacing w:after="0" w:line="5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establish accruals for specific legal proceedings when it is considered probable that a loss has been incurred and the amount of the loss can be reasonably estimated. We review and adjust accruals for loss contingencies quarterly and as additional information becomes available. If a loss is not both probable and reasonably estimable, or if an exposure to loss exists in excess of the amount accrued, we assess whether there is at least a reasonable possibility that a loss, or additional loss, may have been incurred. If there is a reasonable possibility that a loss, or additional loss, may have been incurred, we disclose the estimate of the possible loss or range of loss if it is material and an estimate can be made, or disclose that such an estimate cannot be made. The determination as to whether a loss can reasonably be considered to be possible or probable is based on our assessment, together with legal counsel, regarding the ultimate outcome of the matter.</w:t>
      </w:r>
    </w:p>
    <w:p>
      <w:pPr>
        <w:spacing w:after="0" w:line="6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believe that we have adequately accrued for the potential impact of loss contingencies that are probable and reasonably estimable. We do not believe that the ultimate resolution of any matters to which we are presently a party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22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will have a material adverse effect on our results of operations, financial condition or cash flows. However, the results of these matters cannot be predicted with certainty, and an unfavorable resolution of one or more of these matters could have a material adverse effect on our financial condition, results of operations or cash flows. Legal costs incurred related to these matters are expensed as incurred.</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carry liability and excess umbrella insurance policies that we deem sufficient to cover potential legal claims arising in the normal course of conducting our operations as a transportation and logistics company. The liability and excess umbrella insurance policies generally do not cover the misclassification claims described in this note. In the event we are required to satisfy a legal claim outside the scope of the coverage provided by insurance, our financial condition, results of operations or cash flows could be negatively impacted.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March 2020, XPO Logistics Europe announced that it has entered into a definitive agreement to acquire the majority of Kuehne + Nagel’s contract logistics operations in the United Kingdom. The operations provide a range of logistics services, including inbound and outbound distribution, reverse logistics management and inventory management and generated revenues in 2019 of approximately £500 million ($639 million). The transaction is subject to customary closing conditions, including regulatory approvals. The transaction, which is expected to close in the second half of 2020, is not expected to be material to our operating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Debt</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April 2020, we and certain of our subsidiaries entered into a Senior Secured Term Loan Credit Agreement (the “Bilateral Credit Agreement”), comprised of a $150 million committed secured term loan facility and a $200 million uncommitted secured evergreen letter of credit facility. The term loan facility is available to be drawn upon, subject to customary conditions, in multiple borrowings within six months of the closing date. Any term loans thereunder will bear interest at a rate equal to LIBOR or base rate, at our election, plus an applicable margin of 3.00% to 4.50%, for LIBOR loans, or 2.00% to 3.50%, for base rate loans, in each case depending upon the time elapsed since the closing date. The term loan facility matures in April 2021.</w:t>
      </w:r>
    </w:p>
    <w:p>
      <w:pPr>
        <w:spacing w:after="0" w:line="5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Letters of credit under the letter of credit facility shall expire within one year of issuance and may contain automatic one-year renewals until the letter of credit facility terminates. As of the date of this Report on Form 10-Q, we have issued $200 million in aggregate face amount of letters of credit, which replaced letters of credit outstanding under our ABL Facility, and have not drawn upon the term loan commitments. The credit agreement governing the term loan and letter of credit facilities contains representations and warranties and affirmative and negative covenants customary for financings of this type as well as customary events of default.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Also in April 2020, we completed a private placement of $850 million aggregate principal amount of 6.25% senior notes due 2025 (the “Notes”). We intend to use the net proceeds from the issuance of the Notes for general corporate purposes, which may include the repayment of amounts outstanding under our existing ABL Facility, the repayment and/or redemption of our 6.50% senior notes due 2022 and/or the repayment of other existing indebtedness. Interest on the debt is paid semi-annually in arrears. The Notes mature on May 1, 2025. The net proceeds from the offering, after deducting debt issuance costs, were approximately $837 million.</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Notes are guaranteed by each of our direct and indirect wholly-owned restricted subsidiaries (other than some excluded subsidiaries) that are obligors under, or guarantee obligations under, our ABL Facility or existing term loan facility (or certain of its replacements) or guarantee certain of our other indebtedness. The Notes and its guarantees are unsecured, unsubordinated indebtedness for us and our guarantors. The Notes contain covenants customary for notes of this nature.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Quarterly Report on Form 10-Q and other written reports and oral statements we make from time to time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22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Quarterly Report are qualified by these cautionary statements and there can be no assurance that the actual results or developments anticipated by the Company will be realized or, even if substantially realized, that they will have the expected consequence to or effects on the Company or its business or operations. The following discussion should be read in conjunction with the Company’s unaudited Condensed Consolidated Financial Statements and related notes thereto included elsewhere in this Quarterly Report. Forward-looking statements set forth in this Quarterly Report speak only as of the date hereof, and we do not undertake any obligation to update forward-looking statements to reflect subsequent events or circumstances, changes in expectations or the occurrence of unanticipated events, except to the extent required by law.</w:t>
      </w:r>
    </w:p>
    <w:p>
      <w:pPr>
        <w:spacing w:after="0" w:line="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our 2019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XPO Logistics, Inc., a Delaware corporation, together with its subsidiaries (“XPO,” or “we”), is a top ten global provider of cutting-edge supply chain solutions to the most successful companies in the world.</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two reporting segments: Transportation and Logistics. In 2019, approximately 64% of our revenue came from Transportation; the other 36% came from Logistics. Within each segment, we have robust service offerings that are positioned to capitalize on fast-growing areas of customer demand. Substantially all of our services operate under the single brand of XPO Logistics. As of March 31, 2020, we had approximately 97,000 employees and 1,506 locations in 30 countries, and over 50,000 customers. Our operations help our customers move their goods most efficiently throughout their supply chains.</w:t>
      </w:r>
    </w:p>
    <w:p>
      <w:pPr>
        <w:spacing w:after="0" w:line="8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are closely monitoring the impact of the COVID-19 pandemic on all aspects of our business and geographies, including how it will impact our customers, employees and other business partners. See “Effects of COVID-19”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Transportation Segment</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Transportation segment includes our services for truck brokerage and expedite; truckload; less-than-truckload (“LTL”); last mile; intermodal and drayage; managed transportation; and global forwarding. We offer these services in both North America and Europe with the exception of intermodal and drayage, which are North American services, and truckload, which is primarily in Europe. Within each region, the complementary transportation services we provide represent an opportunity to provide multiple solutions to our larger customers.</w:t>
      </w:r>
    </w:p>
    <w:p>
      <w:pPr>
        <w:spacing w:after="0" w:line="6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Globally, we are the second largest freight brokerage provider, and a top five provider of managed transportation. Many of our other transportation services hold market-leading positions in North America and Europe.</w:t>
      </w:r>
    </w:p>
    <w:p>
      <w:pPr>
        <w:spacing w:after="0" w:line="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North America, we are the largest provider of last mile logistics for heavy goods, the largest manager of expedited shipments, a top three provider of LTL transportation and a top three provider of intermodal services, with a national drayage network. We are also a freight forwarder with a global network of ocean, air, ground and cross-border services.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22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Europe, we provide truckload transportation as a brokered service using independent carriers, and as dedicated and non-dedicated capacity using our owned fleet. Our other transportation offerings in Europe are LTL transportation, which we provide with one of the largest LTL networks in Western Europe, and last mile logistics for heavy goods. Our transportation networks in Europe cover the regions that produce over 90% of the combined gross domestic product.</w:t>
      </w:r>
    </w:p>
    <w:p>
      <w:pPr>
        <w:spacing w:after="0" w:line="7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blended model of owned, contracted and brokered capacity gives us extensive flexibility in providing optimal transportation solutions. The non-asset portion of our model is predominately variable-cost and includes our brokerage operations, as well as contracted capacity with independent providers. As of March 31, 2020, globally, we had approximately 10,000 independent carriers and owner-operators under contract to provide drayage, expedite, last mile and LTL services to our customers, and more than 50,000 independent brokered carriers representing over 1,000,000 trucks on the road.</w:t>
      </w:r>
    </w:p>
    <w:p>
      <w:pPr>
        <w:spacing w:after="0" w:line="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asset portion of our transportation model encompasses approximately 15,500 tractors and 40,000 trailers operated by professional drivers employed by XPO. These assets are primarily related to our LTL operations in North America and our truckload operations in Europe. Our owned fleet also provides supplemental capacity for our freight brokerage operations as needed.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Logistics Segment</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our Logistics segment, which we sometimes refer to as supply chain or contract logistics, XPO is the second largest global provider of contract logistics based on facility space, with the largest outsourced e-fulfillment platform in Europe. We have deep expertise in key verticals and strong positions in fast-growing sectors.</w:t>
      </w:r>
    </w:p>
    <w:p>
      <w:pPr>
        <w:spacing w:after="0" w:line="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provide a range of logistics services that help our customers meet their objectives for efficiency, safety and customer service. Our services include highly customized solutions, as well as value-added warehousing and distribution, e-commerce and omnichannel fulfillment, cold-chain solutions, reverse logistics, packaging and labeling, factory support, aftermarket support, inventory management, order personalization and supply chain optimization. In addition, we provide engineered solutions for supply chain optimization, such as production flow management. Once we secure a logistics contract, the average customer tenure is approximately five years and the relationship can expand to include a wider range of services, such as inbound and outbound logistics.</w:t>
      </w:r>
    </w:p>
    <w:p>
      <w:pPr>
        <w:spacing w:after="0" w:line="84"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Our competitive positioning in logistics is as a technology leader and a proponent of advanced automation. Our logistics operations are innovative and agile, with the ability to engineer sophisticated solutions for complex supply chain requirements. Reverse logistics, also called returns management, is a fast-growing area of contract logistics where we have a reputation as a quality provider. It includes inspections, repackaging, refurbishment, resale or disposal, refunds and warranty management. These are high-value services for any company with consumer end-markets, as shoppers are increasingly “test-driving” the products they buy online. In 2019, we managed approximately 170 million returns.</w:t>
      </w:r>
    </w:p>
    <w:p>
      <w:pPr>
        <w:spacing w:after="0" w:line="6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March 31, 2020, we operated 202 million square feet (19 million square meters) of contract logistics facility space worldwide. Approximately 96 million square feet (9 million square meters) was located in North America, where we are a market leader in logistics capacity; 98 million square feet (9 million square meters) was located in Europe; and 8 million square feet (1 million square meters) was located in Asia. Customers served by our Logistics segment include many of the preeminent names in retail and e-commerce, food and beverage, technology, aerospace, wireless, industrial and manufacturing, chemical, agribusiness, life sciences and healthcare.</w:t>
      </w:r>
    </w:p>
    <w:p>
      <w:pPr>
        <w:spacing w:after="0" w:line="8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logistics network benefits from strong positioning in the high-growth e-commerce sector. We are the largest outsourced e-fulfillment provider in Europe, and we have a major platform for e-fulfillment in North America, where we provide solutions for high-volume omnichannel distribution and reverse logistics. In March 2020, we announced a definitive agreement to acquire the majority of Kuehne + Nagel’s contract logistics operations in the United Kingdom in the second half of 2020, expanding our presence in the e-commerce, beverage, technology and food service sectors. E-commerce is predicted to continue to grow globally at a double-digit rate through at least 2022, making it difficult for many companies to handle fulfillment in-house while providing high levels of service.</w:t>
      </w:r>
    </w:p>
    <w:p>
      <w:pPr>
        <w:spacing w:after="0" w:line="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experience with fast-growing e-commerce categories makes us a valuable partner to customers who want to outsource order fulfillment and personalization, reverse logistics and other service-intensive parts of the supply chain. Together with XPO Direct™, our shared space distribution offering, our Logistics segment provides 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320" w:top="22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commerce companies with superior control, flexible warehousing and staffing, advanced automation and predictive analytics that help manage peaks in demand.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Philosophy</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believe that our rapid pace of innovation differentiates our services and makes the most of the talent and assets within XPO. Our proprietary technology strengthens our relationships with customers, addresses their immediate supply chain needs in the most efficient ways possible and anticipates their future needs. Technology allows us to be a true partner in our customers’ success.</w:t>
      </w:r>
    </w:p>
    <w:p>
      <w:pPr>
        <w:spacing w:after="0" w:line="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concentrate our technology efforts in four areas: our digital freight marketplace, automation and intelligent machines, dynamic data science, and visibility and customer service, specifically in the e-commerce supply chain. Our 2019 investment in technology was among the highest in our industry at approximately $550 million. Our global team of approximately 1,700 technology professionals works closely with our operations in North America and Europe and can deploy new software very rapidly on our cloud-based platform.</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prioritize innovations that can benefit our customers and create value for our shareholders. For example, our XPO Connect™ digital marketplace gives our transportation customers a bird’s-eye view of real-time market conditions and available capacity. It matches shippers and carriers with digital efficiency, benefitting both parties and contributing to our financial performance. Our XPO Smart™ analytics and planning tools use machine learning to drive productivity in our logistics and LTL operations.</w:t>
      </w:r>
    </w:p>
    <w:p>
      <w:pPr>
        <w:spacing w:after="0" w:line="7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Environmental sustainability is another area where our strong commitment sets an example in the industry. In the U.S., XPO has been named a Top 75 Green Supply Chain Partner by </w:t>
      </w:r>
      <w:r>
        <w:rPr>
          <w:rFonts w:ascii="Arial" w:cs="Arial" w:eastAsia="Arial" w:hAnsi="Arial"/>
          <w:sz w:val="17"/>
          <w:szCs w:val="17"/>
          <w:i w:val="1"/>
          <w:iCs w:val="1"/>
          <w:color w:val="auto"/>
        </w:rPr>
        <w:t>Inbound Logistics</w:t>
      </w:r>
      <w:r>
        <w:rPr>
          <w:rFonts w:ascii="Arial" w:cs="Arial" w:eastAsia="Arial" w:hAnsi="Arial"/>
          <w:sz w:val="17"/>
          <w:szCs w:val="17"/>
          <w:color w:val="auto"/>
        </w:rPr>
        <w:t xml:space="preserve"> for four consecutive years. In France, we were awarded the designation Objectif CO</w:t>
      </w:r>
      <w:r>
        <w:rPr>
          <w:rFonts w:ascii="Arial" w:cs="Arial" w:eastAsia="Arial" w:hAnsi="Arial"/>
          <w:sz w:val="11"/>
          <w:szCs w:val="11"/>
          <w:color w:val="auto"/>
        </w:rPr>
        <w:t>2</w:t>
      </w:r>
      <w:r>
        <w:rPr>
          <w:rFonts w:ascii="Arial" w:cs="Arial" w:eastAsia="Arial" w:hAnsi="Arial"/>
          <w:sz w:val="17"/>
          <w:szCs w:val="17"/>
          <w:color w:val="auto"/>
        </w:rPr>
        <w:t xml:space="preserve"> in 2016 for outstanding environmental performance of transport operations by the Ministry of the Environment. In Spain, all of our sites meet Leadership in Energy and Environmental Design (“LEED”) energy certification standards for 100% consumption of renewable energy. In the United Kingdom, the warehouse of the future we created with Nestlé is scheduled to begin operating in mid-year 2020. It utilizes environmentally friendly ammonia refrigeration systems, energy-saving lighting, air-source heat pumps for administration areas and rainwater harvesting.</w:t>
      </w:r>
    </w:p>
    <w:p>
      <w:pPr>
        <w:spacing w:after="0" w:line="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 number of our logistics facilities are ISO14001-certified, which ensures environmental and other regulatory compliances. We monitor fuel emissions from forklifts in our warehouses, with protocols in place to take immediate corrective action if needed. Our packaging engineers ensure that the optimal carton size is used for each product slated for distribution, and when feasible, we purchase recycled packaging. As a byproduct of our reverse logistics operations, we recycle millions of electronic components and batteries each year.</w:t>
      </w:r>
    </w:p>
    <w:p>
      <w:pPr>
        <w:spacing w:after="0" w:line="79"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In transportation, we have made substantial investments in fuel-efficient Freightliner Cascadia tractors in North America; these use Environmental Protection Agency (“EPA”) 2013-compliant and Greenhouse Gas 2014-compliant Selective Catalytic Reduction technology. Our North American LTL locations have energy-saving policies in place and are implementing a phased upgrade to LED lighting. In Europe, we own one of the industry’s most modern road fleets. Our tractors are 98% compliant with Euro V, EEV and Euro VI standards.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own a large fleet of natural gas trucks operating in France, the United Kingdom, Spain and Portugal and, in 2019, we invested in 100 new Stralis Natural Power Euro VI tractors for our LTL network in France. These tractors use a combination of liquified and compressed natural gas (“LNG/CNG”) to generate lower NOx emissions than the Euro VI standard and reduce noise in densely populated areas. In Spain, where we own government-approved mega-trucks, we have embarked on a collaborative research project with the General State Administration to test duo-trailer vehicles and capture data about environmental and safety performance in commercial use. Our last mile operations in Europe are piloting electric vehicles for deliveries in urban areas, reducing those emissions to zero.</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Alternatives</w:t>
      </w:r>
    </w:p>
    <w:p>
      <w:pPr>
        <w:spacing w:after="0" w:line="11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 January 2020, we announced that XPO had commenced a review of strategic alternatives, including the possible sale or spin-off of one or more of our business units, in order to maximize shareholder value. In March 2020, in light of market conditions, we terminated the strategic review process.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22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COVID-19</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As a global provider of supply chain solutions, our business can be impacted to varying degrees by factors beyond our control. The rapid escalation of COVID-19 into a pandemic in 2020 has affected, and will continue to affect, economic activity broadly and customer sectors served by our industry.</w:t>
      </w:r>
    </w:p>
    <w:p>
      <w:pPr>
        <w:spacing w:after="0" w:line="1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response to the COVID-19 pandemic, the governments of many countries, states, cities and other geographic regions have taken and are continuing to take preventative or reactive actions, such as imposing restrictions on travel and business operations and advising or requiring individuals to shelter-in-place. Due to the critical role we play in moving goods and equipment in the markets we serve, XPO is widely considered an “essential business,” providing supply chain solutions to crucial industries and delivering critical consumer goods. As a result, we have been and are continuing to operate amid state-of-emergency and shelter-in-place orders recently issued in the U.S. and globally. The substantial majority of our operating sites have remained open and operating, and we have continued to serve our customers while employing significant measures to protect our employees and keep them safe.</w:t>
      </w:r>
    </w:p>
    <w:p>
      <w:pPr>
        <w:spacing w:after="0" w:line="56"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COVID-19 pandemic and associated impacts on economic activity had an adverse effect on our results of operations and financial condition for the three months ended March 31, 2020. From a demand standpoint, the last half of March saw demand decline sharply, most notably in Europe, as large sectors of the economy began to shut down, which has continued through the filing date of this Report on Form 10-Q.</w:t>
      </w:r>
    </w:p>
    <w:p>
      <w:pPr>
        <w:spacing w:after="0" w:line="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 remains very difficult to predict the duration and impact of COVID-19 and how the recovery will play out for our industry generally and our business in particular, due to the extreme uncertainty and unprecedented nature of the COVID-19 pandemic. We do, however, expect that our results of operations and financial condition will be more significantly impacted in the second quarter of 2020 and in subsequent periods, as levels of activity in our business have historically been positively correlated to broad measures of economic activity, such as gross domestic product and measures of industrial production. At the time of the issuance of this Report on Form 10-Q, we are unable to reasonably estimate the full extent of the impact on our future results of operations, liquidity or overall financial position.</w:t>
      </w:r>
    </w:p>
    <w:p>
      <w:pPr>
        <w:spacing w:after="0" w:line="8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While we have incurred additional costs to ensure we meet the needs of our customers and employees, including costs for personal protective equipment, site closures and cleaning and enhanced employee benefits, we believe that a majority of our cost basis is variable, and we have taken and will continue to take aggressive actions to adjust our expenses to reflect changes in demand for our services. These actions have included reduced use of contractors, reduced employee hours, furloughs, layoffs and required use of paid time off, consistent with local regulations. Although we do not expect to be able to fully offset the effects of significantly reduced volumes on our results of operations, the actions that we are taking combined with the variable components of our cost structure should partially mitigate the impact of the pandemic on our profitability relative to the impact on revenues and volumes.</w:t>
      </w:r>
    </w:p>
    <w:p>
      <w:pPr>
        <w:spacing w:after="0" w:line="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Maintaining strong liquidity has been and will continue to be a top priority for us amid the current economic disruption. As discussed in greater detail below, as of March 31, 2020, we had $1.3 billion of available liquidity, including $1.1 billion of cash and cash equivalents. In addition, in April 2020, we expanded our liquidity by $1.2 billion through the addition of a $350 million term loan and letter of credit facility and $850 million in senior notes. We expect to incur incremental interest expense in 2020 as a result of incurring this new debt. We also expect to reduce our capital expenditures this year substantially, which we believe we can do because the majority of our previously planned 2020 capital spending was intended to support growth initiatives and many of our operations are asset-light.</w:t>
      </w:r>
    </w:p>
    <w:p>
      <w:pPr>
        <w:spacing w:after="0" w:line="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using a combination of rigorous protective measures, technology and virtual communications to endeavor to keep employees safe in all 30 countries where we operate. Measures we have taken to date include:</w:t>
      </w:r>
    </w:p>
    <w:p>
      <w:pPr>
        <w:spacing w:after="0" w:line="6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employees worldwide are working remotely if able to do so.</w:t>
      </w:r>
    </w:p>
    <w:p>
      <w:pPr>
        <w:spacing w:after="0" w:line="117"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employees who need to work on site, we follow the guidance of the World Health Organization, the U.S. Centers for Disease Control, local regulators, and our own health and safety protocols.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Social distancing and personal protective equipment guidelines are in effect in all our workplaces.</w:t>
      </w:r>
    </w:p>
    <w:p>
      <w:pPr>
        <w:spacing w:after="0" w:line="117"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implemented consistent and ongoing cleaning of high-touch areas across our facilities worldwide, as well as deep cleaning of any workspaces or facilities likely to have been exposed to COVID-19.</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22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60" w:right="40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added Pandemic Paid Sick Leave to our U.S. and Canadian benefits packages, covered the cost of COVID-19 testing, continued to provide alternate work arrangements for employees when medically advisable, and guaranteed up to three days of 100% pay continuation if a facility is closed temporarily for deep cleaning.</w:t>
      </w:r>
    </w:p>
    <w:p>
      <w:pPr>
        <w:spacing w:after="0" w:line="76" w:lineRule="exact"/>
        <w:rPr>
          <w:sz w:val="20"/>
          <w:szCs w:val="20"/>
          <w:color w:val="auto"/>
        </w:rPr>
      </w:pPr>
    </w:p>
    <w:p>
      <w:pPr>
        <w:ind w:right="1860"/>
        <w:spacing w:after="0" w:line="465" w:lineRule="auto"/>
        <w:rPr>
          <w:sz w:val="20"/>
          <w:szCs w:val="20"/>
          <w:color w:val="auto"/>
        </w:rPr>
      </w:pPr>
      <w:r>
        <w:rPr>
          <w:rFonts w:ascii="Arial" w:cs="Arial" w:eastAsia="Arial" w:hAnsi="Arial"/>
          <w:sz w:val="18"/>
          <w:szCs w:val="18"/>
          <w:color w:val="auto"/>
        </w:rPr>
        <w:t xml:space="preserve">A further discussion of the impact of the COVID-19 pandemic on our business is set forth below in Part II, Item 1A. Risk Factors. </w:t>
      </w:r>
      <w:r>
        <w:rPr>
          <w:rFonts w:ascii="Arial" w:cs="Arial" w:eastAsia="Arial" w:hAnsi="Arial"/>
          <w:sz w:val="18"/>
          <w:szCs w:val="18"/>
          <w:b w:val="1"/>
          <w:bCs w:val="1"/>
          <w:color w:val="auto"/>
        </w:rPr>
        <w:t>Consolidated Summary Financial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2080" w:type="dxa"/>
            <w:vAlign w:val="bottom"/>
            <w:gridSpan w:val="3"/>
          </w:tcPr>
          <w:p>
            <w:pPr>
              <w:ind w:left="880"/>
              <w:spacing w:after="0"/>
              <w:rPr>
                <w:sz w:val="20"/>
                <w:szCs w:val="20"/>
                <w:color w:val="auto"/>
              </w:rPr>
            </w:pPr>
            <w:r>
              <w:rPr>
                <w:rFonts w:ascii="Arial" w:cs="Arial" w:eastAsia="Arial" w:hAnsi="Arial"/>
                <w:sz w:val="14"/>
                <w:szCs w:val="14"/>
                <w:b w:val="1"/>
                <w:bCs w:val="1"/>
                <w:color w:val="auto"/>
                <w:w w:val="90"/>
              </w:rPr>
              <w:t>Percent of Revenue</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263"/>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Borders>
              <w:bottom w:val="single" w:sz="8" w:color="CCEEFF"/>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2020 vs. 2019</w:t>
            </w:r>
          </w:p>
        </w:tc>
      </w:tr>
      <w:tr>
        <w:trPr>
          <w:trHeight w:val="236"/>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3,864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4,120</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37"/>
        </w:trPr>
        <w:tc>
          <w:tcPr>
            <w:tcW w:w="394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 of transportation and services</w:t>
            </w:r>
          </w:p>
        </w:tc>
        <w:tc>
          <w:tcPr>
            <w:tcW w:w="24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1,898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2,096</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49.1 %</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50.9 %</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33"/>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Direct operating expense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35.2 %</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7"/>
        </w:trPr>
        <w:tc>
          <w:tcPr>
            <w:tcW w:w="3940" w:type="dxa"/>
            <w:vAlign w:val="bottom"/>
            <w:gridSpan w:val="2"/>
          </w:tcPr>
          <w:p>
            <w:pPr>
              <w:ind w:left="40"/>
              <w:spacing w:after="0"/>
              <w:rPr>
                <w:sz w:val="20"/>
                <w:szCs w:val="20"/>
                <w:color w:val="auto"/>
              </w:rPr>
            </w:pPr>
            <w:r>
              <w:rPr>
                <w:rFonts w:ascii="Arial" w:cs="Arial" w:eastAsia="Arial" w:hAnsi="Arial"/>
                <w:sz w:val="16"/>
                <w:szCs w:val="16"/>
                <w:b w:val="1"/>
                <w:bCs w:val="1"/>
                <w:color w:val="auto"/>
              </w:rPr>
              <w:t>SG&amp;A expense</w:t>
            </w:r>
          </w:p>
        </w:tc>
        <w:tc>
          <w:tcPr>
            <w:tcW w:w="24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486</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13.6 %</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11.8 %</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8.0 %</w:t>
            </w:r>
          </w:p>
        </w:tc>
      </w:tr>
      <w:tr>
        <w:trPr>
          <w:trHeight w:val="33"/>
        </w:trPr>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w:t>
            </w:r>
          </w:p>
        </w:tc>
      </w:tr>
      <w:tr>
        <w:trPr>
          <w:trHeight w:val="217"/>
        </w:trPr>
        <w:tc>
          <w:tcPr>
            <w:tcW w:w="3940" w:type="dxa"/>
            <w:vAlign w:val="bottom"/>
            <w:gridSpan w:val="2"/>
          </w:tcPr>
          <w:p>
            <w:pPr>
              <w:ind w:left="280"/>
              <w:spacing w:after="0"/>
              <w:rPr>
                <w:sz w:val="20"/>
                <w:szCs w:val="20"/>
                <w:color w:val="auto"/>
              </w:rPr>
            </w:pPr>
            <w:r>
              <w:rPr>
                <w:rFonts w:ascii="Arial" w:cs="Arial" w:eastAsia="Arial" w:hAnsi="Arial"/>
                <w:sz w:val="16"/>
                <w:szCs w:val="16"/>
                <w:color w:val="auto"/>
              </w:rPr>
              <w:t>Other expense (income)</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5.9 %</w:t>
            </w:r>
          </w:p>
        </w:tc>
      </w:tr>
      <w:tr>
        <w:trPr>
          <w:trHeight w:val="33"/>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Foreign currency (gain) loss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4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NM</w:t>
            </w:r>
          </w:p>
        </w:tc>
      </w:tr>
      <w:tr>
        <w:trPr>
          <w:trHeight w:val="237"/>
        </w:trPr>
        <w:tc>
          <w:tcPr>
            <w:tcW w:w="3940" w:type="dxa"/>
            <w:vAlign w:val="bottom"/>
            <w:gridSpan w:val="2"/>
          </w:tcPr>
          <w:p>
            <w:pPr>
              <w:ind w:left="280"/>
              <w:spacing w:after="0"/>
              <w:rPr>
                <w:sz w:val="20"/>
                <w:szCs w:val="20"/>
                <w:color w:val="auto"/>
              </w:rPr>
            </w:pPr>
            <w:r>
              <w:rPr>
                <w:rFonts w:ascii="Arial" w:cs="Arial" w:eastAsia="Arial" w:hAnsi="Arial"/>
                <w:sz w:val="16"/>
                <w:szCs w:val="16"/>
                <w:color w:val="auto"/>
              </w:rPr>
              <w:t>Debt extinguishment loss</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080" w:type="dxa"/>
            <w:vAlign w:val="bottom"/>
            <w:gridSpan w:val="3"/>
          </w:tcPr>
          <w:p>
            <w:pPr>
              <w:ind w:left="1040"/>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17"/>
        </w:trPr>
        <w:tc>
          <w:tcPr>
            <w:tcW w:w="3940" w:type="dxa"/>
            <w:vAlign w:val="bottom"/>
            <w:gridSpan w:val="2"/>
          </w:tcPr>
          <w:p>
            <w:pPr>
              <w:ind w:left="40"/>
              <w:spacing w:after="0"/>
              <w:rPr>
                <w:sz w:val="20"/>
                <w:szCs w:val="20"/>
                <w:color w:val="auto"/>
              </w:rPr>
            </w:pPr>
            <w:r>
              <w:rPr>
                <w:rFonts w:ascii="Arial" w:cs="Arial" w:eastAsia="Arial" w:hAnsi="Arial"/>
                <w:sz w:val="16"/>
                <w:szCs w:val="16"/>
                <w:b w:val="1"/>
                <w:bCs w:val="1"/>
                <w:color w:val="auto"/>
              </w:rPr>
              <w:t>Income before income tax provision</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(50.7)%</w:t>
            </w:r>
          </w:p>
        </w:tc>
      </w:tr>
      <w:tr>
        <w:trPr>
          <w:trHeight w:val="33"/>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Income tax provision</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w:t>
            </w:r>
          </w:p>
        </w:tc>
      </w:tr>
      <w:tr>
        <w:trPr>
          <w:trHeight w:val="217"/>
        </w:trPr>
        <w:tc>
          <w:tcPr>
            <w:tcW w:w="394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(51.9)%</w:t>
            </w:r>
          </w:p>
        </w:tc>
      </w:tr>
      <w:tr>
        <w:trPr>
          <w:trHeight w:val="33"/>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NM - Not meaningful.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Compared with Three Months Ended March 31, 2019</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Revenue for the first quarter of 2020 decreased 6.2% to $3.9 billion, compared with the same quarter in 2019. The decrease is primarily due to the impact of COVID-19 and reduced volumes with our largest customer, including curtailing our direct postal injection business. Additionally, foreign currency movement reduced revenue by approximately 1.0 percentage point in the first quarter of 2020.</w:t>
      </w:r>
    </w:p>
    <w:p>
      <w:pPr>
        <w:spacing w:after="0" w:line="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Cost of transportation and services includes the cost of providing or procuring freight transportation for XPO customers and salaries paid to employee drivers in our truckload and LTL businesses.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transportation and services for the first quarter of 2020 was $1.9 billion, or 49.1% of revenue, compared with $2.1 billion, or 50.9% of revenue, for the same quarter in 2019. The year-over-year reduction as a percentage of revenue was primarily driven by a higher mix of contract logistics revenue, lower third-party transportation costs in our transportation segment, and lower fuel costs.</w:t>
      </w:r>
    </w:p>
    <w:p>
      <w:pPr>
        <w:spacing w:after="0" w:line="7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Direct operating expenses are comprised of both fixed and variable expenses and consist of operating costs related to our contract logistics facilities, last mile warehousing facilities, LTL service centers and European LTL network. Direct operating costs consist mainly of personnel costs, facility and equipment expenses, such as rent, utilities, equipment maintenance and repair, costs of materials and supplies, information technology expenses, depreciation expense, and gains and losses on sales of property and equipment.</w:t>
      </w:r>
    </w:p>
    <w:p>
      <w:pPr>
        <w:spacing w:after="0" w:line="7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Direct operating expense for the first quarter of 2020 was $1.4 billion, or 35.2% of revenue, compared with $1.4 billion, or 34.1% of revenue, for the same quarter in 2019. The year-over-year increase as a percentage of revenue was primarily driven by higher personnel costs, facility costs in our transportation segment and higher depreciation expense in our logistics segment due to the impact of prior capital investments and new contract startups. Partially offsetting these higher costs were lower temporary labor costs in our logistics segment. Additionally, the first quarters of 2020 and 2019 included $27 million and $21 million, respectively, from gains on sale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22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Sales, general and administrative expense (“SG&amp;A”) primarily consists of salary and benefit costs for executive and certain administration functions, salaries and commissions for the sales function, depreciation and amortization expense, professional fees, facility costs, bad debt expense and legal costs.</w:t>
      </w:r>
    </w:p>
    <w:p>
      <w:pPr>
        <w:spacing w:after="0" w:line="1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SG&amp;A for the first quarter of 2020 was $525 million, or 13.6% of revenue, compared with $486 million, or 11.8% of revenue, for the same quarter in 2019. SG&amp;A in the first quarter of 2020 included approximately $40 million of expenses related to our exploration of strategic alternatives, including professional service fees and retention costs. The review process was terminated in March 2020 in light of market conditions, although certain of these costs will continue. SG&amp;A for the first quarter of 2020 also reflected higher incentive and stock-based compensation expense.</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Foreign currency (gain) loss was an $8 million gain for the first quarter of 2020, compared with a $2 million loss for the same quarter in 2019. Foreign currency gain in the first quarter of 2020 primarily reflected realized and unrealized gains on foreign currency option and forward contracts and other derivative contracts, including a gain on a terminated net investment hedge. Foreign currency loss in the first quarter of 2019 primarily reflected unrealized losses on foreign currency option and forward contracts. For additional information on our foreign currency option and forward contracts, see Note 5— Derivative Instruments to our Condensed Consolidated Financial Statements.</w:t>
      </w:r>
    </w:p>
    <w:p>
      <w:pPr>
        <w:spacing w:after="0" w:line="80"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Debt extinguishment loss was $5 million for the first quarter of 2019. There were no debt extinguishment losses in the first quarter of 2020. Debt extinguishment loss in the first quarter of 2019 related to the write-off of debt issuance costs for an unsecured credit facility that was repaid in the first quarter of 2019.</w:t>
      </w:r>
    </w:p>
    <w:p>
      <w:pPr>
        <w:spacing w:after="0" w:line="7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Interest expense increased to $72 million for the first quarter of 2020 from $71 million for the first quarter of 2019, primarily due to higher average total indebtedness to fund share purchases in 2019 and for general corporate purposes, partially offset by lower interest rates in the first quarter of 2020.</w:t>
      </w:r>
    </w:p>
    <w:p>
      <w:pPr>
        <w:spacing w:after="0" w:line="1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effective income tax rates were 30.2% and 26.6% for the first quarter of 2020 and 2019, respectively. The effective tax rates for the first quarter of 2020 and 2019 were based on forecasted full-year effective tax rates, adjusted for discrete items that occurred within the periods presented. There were no material discrete items impacting the effective tax rate for the first quarter of 2020 or 2019.</w:t>
      </w:r>
    </w:p>
    <w:p>
      <w:pPr>
        <w:spacing w:after="0" w:line="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U.S. Coronavirus Aid, Relief, and Economic Security Act (the “CARES Act”) enacted in March 2020 provides numerous tax provisions and other stimulus measures, including temporary changes regarding the prior and future utilization of net operating losses, temporary changes to the prior and future limitations on interest deductions, and technical corrections from prior tax legislation for tax depreciation of certain qualified improvement property. We have applied the provisions of the CARES Act relating to income taxes and recorded a $4 million reduction in cash taxes as well as an immaterial income tax benefit on our Condensed Consolidated Statements of Income in the first quarter of 2020. Additionally, we expect to benefit from the ability to defer the payment of certain payroll taxes that would otherwise be required in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engage in restructuring actions as part of our ongoing efforts to best utilize our resources and infrastructure. Restructuring charges were recorded on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4"/>
          </w:tcPr>
          <w:p>
            <w:pPr>
              <w:jc w:val="right"/>
              <w:ind w:right="875"/>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2019</w:t>
            </w: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transportation and services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Sales, general and administrative expense</w:t>
            </w:r>
          </w:p>
        </w:tc>
        <w:tc>
          <w:tcPr>
            <w:tcW w:w="46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10</w:t>
            </w:r>
          </w:p>
        </w:tc>
      </w:tr>
      <w:tr>
        <w:trPr>
          <w:trHeight w:val="27"/>
        </w:trPr>
        <w:tc>
          <w:tcPr>
            <w:tcW w:w="7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more information, see Note 4—Restructuring Charges to the Condensed Consolidated Financial Statements. Upon successful completion of the restructuring initiatives recorded in the first quarter of 2020, we expect to achieve annualized pre-tax savings of approximately $9 million in 2021. We expect to incur incremental restructuring costs in 2020 as we modify and right-size our operations for declines and/or surges in demand due to the business impacts of COVID-19; however, we are currently unable to reasonably estimate these costs.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22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 Segment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Borders>
              <w:bottom w:val="single" w:sz="8" w:color="auto"/>
            </w:tcBorders>
            <w:gridSpan w:val="5"/>
          </w:tcPr>
          <w:p>
            <w:pPr>
              <w:jc w:val="right"/>
              <w:ind w:right="299"/>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w w:val="90"/>
              </w:rPr>
              <w:t>Percent of Revenue</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Change</w:t>
            </w:r>
          </w:p>
        </w:tc>
      </w:tr>
      <w:tr>
        <w:trPr>
          <w:trHeight w:val="264"/>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2020 vs. 2019</w:t>
            </w:r>
          </w:p>
        </w:tc>
      </w:tr>
      <w:tr>
        <w:trPr>
          <w:trHeight w:val="236"/>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820" w:type="dxa"/>
            <w:vAlign w:val="bottom"/>
            <w:tcBorders>
              <w:bottom w:val="single" w:sz="8" w:color="CCEEFF"/>
            </w:tcBorders>
            <w:shd w:val="clear" w:color="auto" w:fill="CCEEFF"/>
          </w:tcPr>
          <w:p>
            <w:pPr>
              <w:jc w:val="right"/>
              <w:ind w:right="645"/>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2,459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44"/>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2,659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37"/>
        </w:trPr>
        <w:tc>
          <w:tcPr>
            <w:tcW w:w="398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 income</w:t>
            </w:r>
          </w:p>
        </w:tc>
        <w:tc>
          <w:tcPr>
            <w:tcW w:w="82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33"/>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39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depreciation and amortization</w:t>
            </w: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1028"/>
              <w:spacing w:after="0"/>
              <w:rPr>
                <w:sz w:val="20"/>
                <w:szCs w:val="20"/>
                <w:color w:val="auto"/>
              </w:rPr>
            </w:pPr>
            <w:r>
              <w:rPr>
                <w:rFonts w:ascii="Arial" w:cs="Arial" w:eastAsia="Arial" w:hAnsi="Arial"/>
                <w:sz w:val="16"/>
                <w:szCs w:val="16"/>
                <w:color w:val="auto"/>
              </w:rPr>
              <w:t>N/A</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N/A</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33"/>
        </w:trPr>
        <w:tc>
          <w:tcPr>
            <w:tcW w:w="3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Transportation segment revenue decreased 7.5% to $2.5 billion for the first quarter of 2020, compared with $2.7 billion for the same quarter in 2019. Revenue in the first quarter of 2020 reflected the impact of COVID-19 and reduced volumes with our largest customer, including curtailing our direct postal injection business. Additionally, foreign currency movement reduced revenue by approximately 0.7 percentage points in the first quarter of 2020.</w:t>
      </w:r>
    </w:p>
    <w:p>
      <w:pPr>
        <w:spacing w:after="0" w:line="4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Transportation segment operating income for the first quarter of 2020 decreased to $120 million, or 4.9% of revenue, compared with $128 million, or 4.8% of revenue, for the same quarter in 2019. The decrease was primarily driven by lower revenue, partially offset by lower third-party transportation, fuel, truck leasing and personnel costs as a percentage of revenue. Partially offsetting these lower costs were higher facility costs, expenses related to our exploration of strategic alternatives and bad debt expenses. Additionally, the first quarter of 2020 reflected higher gains on sale of property and equipment of $8 million. Depreciation and amortization expense in the first quarter of 2019 included $6 million related to the impairment of customer relationship intangible assets associated with exiting the direct postal injection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Logistics Segment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Borders>
              <w:bottom w:val="single" w:sz="8" w:color="auto"/>
            </w:tcBorders>
            <w:gridSpan w:val="5"/>
          </w:tcPr>
          <w:p>
            <w:pPr>
              <w:jc w:val="right"/>
              <w:ind w:right="299"/>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w w:val="90"/>
              </w:rPr>
              <w:t>Percent of Revenue</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Change</w:t>
            </w:r>
          </w:p>
        </w:tc>
      </w:tr>
      <w:tr>
        <w:trPr>
          <w:trHeight w:val="263"/>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2020 vs. 2019</w:t>
            </w:r>
          </w:p>
        </w:tc>
      </w:tr>
      <w:tr>
        <w:trPr>
          <w:trHeight w:val="236"/>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820" w:type="dxa"/>
            <w:vAlign w:val="bottom"/>
            <w:tcBorders>
              <w:bottom w:val="single" w:sz="8" w:color="CCEEFF"/>
            </w:tcBorders>
            <w:shd w:val="clear" w:color="auto" w:fill="CCEEFF"/>
          </w:tcPr>
          <w:p>
            <w:pPr>
              <w:jc w:val="right"/>
              <w:ind w:right="645"/>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1,437</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44"/>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1,494</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398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 income</w:t>
            </w:r>
          </w:p>
        </w:tc>
        <w:tc>
          <w:tcPr>
            <w:tcW w:w="82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33"/>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39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depreciation and amortization</w:t>
            </w: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1028"/>
              <w:spacing w:after="0"/>
              <w:rPr>
                <w:sz w:val="20"/>
                <w:szCs w:val="20"/>
                <w:color w:val="auto"/>
              </w:rPr>
            </w:pPr>
            <w:r>
              <w:rPr>
                <w:rFonts w:ascii="Arial" w:cs="Arial" w:eastAsia="Arial" w:hAnsi="Arial"/>
                <w:sz w:val="16"/>
                <w:szCs w:val="16"/>
                <w:color w:val="auto"/>
              </w:rPr>
              <w:t>N/A</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N/A</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13.1 %</w:t>
            </w:r>
          </w:p>
        </w:tc>
      </w:tr>
      <w:tr>
        <w:trPr>
          <w:trHeight w:val="33"/>
        </w:trPr>
        <w:tc>
          <w:tcPr>
            <w:tcW w:w="3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Logistics segment revenue decreased 3.8% to $1.4 billion for the first quarter of 2020, compared with $1.5 billion for the same quarter in 2019. This decrease reflects our elimination of certain low-margin business and the downsizing of business by our largest customer in North America, as well as the negative impact of COVID-19 in Europe. Additionally, foreign currency movement reduced revenue growth by approximately 1.4 percentage points in the first quarter of 2020.</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Logistics segment operating income for the first quarter of 2020 decreased to $38 million, or 2.6% of revenue, compared with $46 million, or 3.1% of revenue, for the same quarter in 2019. The decrease was primarily driven by lower revenue, increased depreciation and amortization expense and expenses related to our exploration of strategic alternatives. Depreciation and amortization expense was higher in the first quarter of 2020 compared to the prior year quarter due to the impact of prior capital investments and new contract startups.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March 31, 2020, we had cash and cash equivalents of $1.1 billion. Our principal existing sources of cash are (i) cash generated from operations; (ii) borrowings available under our Second Amended and Restated Revolving Loan Credit Agreement, as amended (the “ABL Facility”); and (iii) proceeds from the issuance of other debt. As of March 31, 2020, we have $186 million available to draw under our ABL Facility, based on a borrowing base of $1.0 billion, as well as outstanding letters of credit of $214 million.</w:t>
      </w:r>
    </w:p>
    <w:p>
      <w:pPr>
        <w:spacing w:after="0" w:line="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Managing our balance sheet prudently and maintaining appropriate liquidity are high priorities during the disruption caused by COVID-19. In order to best position us to navigate this uncertain period, we have taken a number of actions to further strengthen our liquidity.</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borrowed a net $600 million in revolving loans under our existing ABL Facility for the three months ended March 31, 2020. In addition, in early April 2020 we entered into a Senior Secured Term Loan Credit Agreement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22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“Bilateral Credit Agreement”) which allows us to borrow up to $150 million in aggregate principal amount of committed secured term loans and request the issuance of up to $200 million in aggregate face amount of uncommitted secured letters of credit under an evergreen letter of credit facility. Also in April 2020, we completed a private placement of $850 million aggregate principal amount of 6.25% senior notes due 2025 (the “Notes”). The Bilateral Credit Agreement and Notes are discussed further below.</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continually evaluate our liquidity requirements in light of our operating needs, growth initiatives and capital resources. We believe that our existing liquidity and sources of capital are sufficient to support our operations over the next 12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1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Condensed Consolidated Statements of Cash Flows. We also sell trade accounts receivable under a securitization program described below. We use trade receivables securitization and factoring programs to help manage our cash flows and offset the impact of extended payment terms for some of our customers.</w:t>
      </w:r>
    </w:p>
    <w:p>
      <w:pPr>
        <w:spacing w:after="0" w:line="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XPO Logistics Europe SA (“XPO Logistics Europe”), one of our majority-owned subsidiaries, participates in a trade receivables securitization program co-arranged by Crédit Agricole, BNP Paribas and HSBC (the “Purchasers”). Under the program, a wholly-owned bankruptcy-remote special purpose entity of XPO Logistics Europe sells trade receivables that originate with wholly-owned subsidiaries of XPO Logistics Europe in the United Kingdom and France to unaffiliated entities managed by the Purchasers. The special purpose entity is a variable interest entity and is consolidated by XPO based on our control of the entity’s activities.</w:t>
      </w:r>
    </w:p>
    <w:p>
      <w:pPr>
        <w:spacing w:after="0" w:line="8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Condensed Consolidated Balance Sheets at the date of transfer. In the securitization and factoring arrangements, any continuing involvement with the receivables is limited to servicing the receivables. The fair value of any servicing assets and liabilities is immaterial. Our trade receivables securitization program permits us to borrow, on an unsecured basis, cash collected in a servicing capacity on previously sold receivables, which we report within short-term debt on our Condensed Consolidated Balance Sheets. These borrowings amounted to €164 million ($181 million) as of March 31, 2020. See Note 6—Debt to our Condensed Consolidated Financial Statements for additional information on these borrowings.</w:t>
      </w:r>
    </w:p>
    <w:p>
      <w:pPr>
        <w:spacing w:after="0" w:line="6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a securitization program that was terminated in July 2019, if transfers were accounted for as sales, the consideration received included a simultaneous cash payment and a deferred purchase price receivable. The deferred purchase price receivable was not a trade receivable and was recorded based on its fair value and reported within Other current assets on our Condensed Consolidated Balance Sheets. The cash payment which we received on the date of the transfer was reflected within Net cash provided by (used in) operating activities on our Condensed Consolidated Statements of Cash Flows. As we received cash payments on the deferred purchase price receivable, it was reflected as an investing activity. The new program does not include a deferred purchase price mechanism.</w:t>
      </w:r>
    </w:p>
    <w:p>
      <w:pPr>
        <w:spacing w:after="0" w:line="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maximum amount of net cash proceeds available at any one time under the program is €400 million (approximately $441 million as of March 31, 2020) and this amount includes any unsecured borrowings related to the program. As of March 31, 2020, €88 million (approximately $98 million) was available to us based on the level of receivables sold and outstanding as of that date. The securitization program expires in July 2022 and contains financial covenants customary for this type of arrangement, including maintaining a defined average days sales outstanding ratio.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22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88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vMerge w:val="restart"/>
          </w:tcPr>
          <w:p>
            <w:pPr>
              <w:spacing w:after="0"/>
              <w:rPr>
                <w:sz w:val="16"/>
                <w:szCs w:val="16"/>
                <w:color w:val="auto"/>
              </w:rPr>
            </w:pPr>
          </w:p>
        </w:tc>
        <w:tc>
          <w:tcPr>
            <w:tcW w:w="1060" w:type="dxa"/>
            <w:vAlign w:val="bottom"/>
          </w:tcPr>
          <w:p>
            <w:pPr>
              <w:ind w:left="640"/>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7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000" w:type="dxa"/>
            <w:vAlign w:val="bottom"/>
            <w:gridSpan w:val="2"/>
            <w:shd w:val="clear" w:color="auto" w:fill="CCEEFF"/>
          </w:tcPr>
          <w:p>
            <w:pPr>
              <w:ind w:left="40"/>
              <w:spacing w:after="0" w:line="269" w:lineRule="exact"/>
              <w:rPr>
                <w:sz w:val="20"/>
                <w:szCs w:val="20"/>
                <w:color w:val="auto"/>
              </w:rPr>
            </w:pPr>
            <w:r>
              <w:rPr>
                <w:rFonts w:ascii="Arial" w:cs="Arial" w:eastAsia="Arial" w:hAnsi="Arial"/>
                <w:sz w:val="18"/>
                <w:szCs w:val="18"/>
                <w:b w:val="1"/>
                <w:bCs w:val="1"/>
                <w:color w:val="auto"/>
              </w:rPr>
              <w:t xml:space="preserve">Securitization programs </w:t>
            </w:r>
            <w:r>
              <w:rPr>
                <w:rFonts w:ascii="Arial" w:cs="Arial" w:eastAsia="Arial" w:hAnsi="Arial"/>
                <w:sz w:val="25"/>
                <w:szCs w:val="25"/>
                <w:b w:val="1"/>
                <w:bCs w:val="1"/>
                <w:color w:val="auto"/>
                <w:vertAlign w:val="superscript"/>
              </w:rPr>
              <w:t>(1)</w:t>
            </w:r>
          </w:p>
        </w:tc>
        <w:tc>
          <w:tcPr>
            <w:tcW w:w="10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Receivables sold in period</w:t>
            </w:r>
          </w:p>
        </w:tc>
        <w:tc>
          <w:tcPr>
            <w:tcW w:w="1060" w:type="dxa"/>
            <w:vAlign w:val="bottom"/>
          </w:tcPr>
          <w:p>
            <w:pPr>
              <w:jc w:val="right"/>
              <w:ind w:right="862"/>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1"/>
                <w:szCs w:val="21"/>
                <w:color w:val="auto"/>
              </w:rPr>
            </w:pP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consideration</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Deferred purchase price</w:t>
            </w:r>
          </w:p>
        </w:tc>
        <w:tc>
          <w:tcPr>
            <w:tcW w:w="106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b w:val="1"/>
                <w:bCs w:val="1"/>
                <w:color w:val="auto"/>
              </w:rPr>
              <w:t>Factoring programs</w:t>
            </w: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Receivables sold in period</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Cash consideration</w:t>
            </w:r>
          </w:p>
        </w:tc>
        <w:tc>
          <w:tcPr>
            <w:tcW w:w="10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660" w:right="140" w:hanging="328"/>
        <w:spacing w:after="0" w:line="257"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Receivable transfers under the securitization programs are accounted for as either sales or secured borrowings. In the prior program, a portion of the transfers were accounted for as secured borrowings whereas under the new program, all transfers are accounted for as sales. This change had the effect of significantly increasing the amount of trade receivables we reported as sold in the first quarter of 2020.</w:t>
      </w:r>
    </w:p>
    <w:p>
      <w:pPr>
        <w:spacing w:after="0" w:line="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to the cash considerations referenced above, we received $71 million in the three months ended March 31, 2019, for the realization of cash on the deferred purchase price receivable for our prior securitization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March 2019, we entered into an amendment to our senior secured term loan credit agreement and borrowed an additional $500 million of incremental loans under a new tranche of term loans. For more information on these amendments, refer to Note 6—Debt to our Condensed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2024</w:t>
      </w:r>
    </w:p>
    <w:p>
      <w:pPr>
        <w:spacing w:after="0" w:line="11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 February 2019, we completed a private placement of $1.0 billion aggregate principal amount of senior notes (“Senior Notes due 2024”), which bear interest at a rate of 6.75% per annum. Proceeds from the Senior Notes due 2024 were used to repay our outstanding obligation under an unsecured credit facility and to finance a portion of our share repurchases described in Note 7—Stockholders’ Equity to our Condensed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related to Securitization Program</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trade receivables securitization program permits us to borrow, on an unsecured basis, cash collected in a servicing capacity on previously sold receivables. These borrowings, which amounted to $181 million as of March 31, 2020, are owed to the program’s Purchasers and are included in short-term debt until they are repaid in the following month’s settlement. There were no borrowings related to the program at December 31, 2019. The securitization program expires in July 2022 and contains financial covenants customary for this type of arrangement, including maintaining a defined average days sales outstanding ratio. For additional information on the securitization program, see Note 1—Organization, Description of Business and Basis of Presentation to our Condensed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Debt</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April 2020, we and certain of our subsidiaries entered into the Bilateral Credit Agreement, comprised of a $150 million committed secured term loan facility and a $200 million uncommitted secured evergreen letter of credit facility. The term loan facility is available to be drawn upon, subject to customary conditions, in multiple borrowings within six months of the closing date. Any term loans thereunder will bear interest at a rate equal to London Inter-bank Offered Rate (“LIBOR”) or base rate, at our election, plus an applicable margin of 3.00% to 4.50%, for LIBOR loans, or 2.00% to 3.50%, for base rate loans, in each case depending upon the time elapsed since the closing date. The term loan facility matures in April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22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Letters of credit under the letter of credit facility shall expire within one year of issuance and may contain automatic one-year renewals until the letter of credit facility terminates. As of the date of this Report on Form 10-Q, we have issued $200 million in aggregate face amount of letters of credit, which replaced letters of credit outstanding under our ABL Facility, and have not drawn upon the term loan commitments. The credit agreement governing the term loan and letter of credit facilities contains representations and warranties and affirmative and negative covenants customary for financings of this type as well as customary events of default.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Also in April 2020, we completed a private placement of $850 million aggregate principal amount of 6.25% senior notes due 2025 (the “Notes”). We intend to use the net proceeds from the issuance of the Notes for general corporate purposes, which may include the repayment of amounts outstanding under our existing ABL Facility, the repayment and/or redemption of our 6.50% senior notes due 2022 and/or the repayment of other existing indebtedness. Interest on the debt is paid semi-annually in arrears. The Notes mature on May 1, 2025. The net proceeds from the offering, after deducting debt issuance costs, were approximately $837 million.</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Notes are guaranteed by each of our direct and indirect wholly-owned restricted subsidiaries (other than some excluded subsidiaries) that are obligors under, or guarantee obligations under, our ABL Facility or existing term loan facility (or certain of its replacements) or guarantee certain of our other indebtedness. The Notes and its guarantees are unsecured, unsubordinated indebtedness for us and our guarantors. The Notes contain covenants customary for notes of this nature.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December 2018, our Board of Directors authorized the repurchase of up to $1 billion of our common stock (the “2018 Program”), which was completed in the first quarter of 2019. The share repurchases were funded by an unsecured credit facility and our available cash.</w:t>
      </w:r>
    </w:p>
    <w:p>
      <w:pPr>
        <w:spacing w:after="0" w:line="6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February 2019, our Board of Directors authorized additional repurchases of up to $1.5 billion of our common stock (the “2019 Program”). The 2019 authorization permits us to purchase shares in both the open market and in private transactions, with the timing and number of shares dependent on a variety of factors, including price, general business conditions, market conditions, alternative investment opportunities and funding considerations. We are not obligated to repurchase any specific number of shares and may suspend or discontinue the program at any time. The share purchases under the 2019 Program were funded by our available cash and proceeds from our 2019 debt offerings.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shares repurchased, based on settlement date,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millions, except per share data)</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 Ended March</w:t>
            </w:r>
          </w:p>
        </w:tc>
        <w:tc>
          <w:tcPr>
            <w:tcW w:w="340" w:type="dxa"/>
            <w:vAlign w:val="bottom"/>
          </w:tcPr>
          <w:p>
            <w:pPr>
              <w:spacing w:after="0"/>
              <w:rPr>
                <w:sz w:val="14"/>
                <w:szCs w:val="14"/>
                <w:color w:val="auto"/>
              </w:rPr>
            </w:pPr>
          </w:p>
        </w:tc>
        <w:tc>
          <w:tcPr>
            <w:tcW w:w="3820" w:type="dxa"/>
            <w:vAlign w:val="bottom"/>
            <w:gridSpan w:val="4"/>
            <w:vMerge w:val="restart"/>
          </w:tcPr>
          <w:p>
            <w:pPr>
              <w:jc w:val="right"/>
              <w:ind w:right="834"/>
              <w:spacing w:after="0"/>
              <w:rPr>
                <w:sz w:val="20"/>
                <w:szCs w:val="20"/>
                <w:color w:val="auto"/>
              </w:rPr>
            </w:pPr>
            <w:r>
              <w:rPr>
                <w:rFonts w:ascii="Arial" w:cs="Arial" w:eastAsia="Arial" w:hAnsi="Arial"/>
                <w:sz w:val="14"/>
                <w:szCs w:val="14"/>
                <w:b w:val="1"/>
                <w:bCs w:val="1"/>
                <w:color w:val="auto"/>
              </w:rPr>
              <w:t>Three Months Ended March 31, 2019</w:t>
            </w:r>
          </w:p>
        </w:tc>
        <w:tc>
          <w:tcPr>
            <w:tcW w:w="0" w:type="dxa"/>
            <w:vAlign w:val="bottom"/>
          </w:tcPr>
          <w:p>
            <w:pPr>
              <w:spacing w:after="0"/>
              <w:rPr>
                <w:sz w:val="1"/>
                <w:szCs w:val="1"/>
                <w:color w:val="auto"/>
              </w:rPr>
            </w:pPr>
          </w:p>
        </w:tc>
      </w:tr>
      <w:tr>
        <w:trPr>
          <w:trHeight w:val="192"/>
        </w:trPr>
        <w:tc>
          <w:tcPr>
            <w:tcW w:w="4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5"/>
              </w:rPr>
              <w:t>31, 2020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2019 Program</w:t>
            </w:r>
          </w:p>
        </w:tc>
        <w:tc>
          <w:tcPr>
            <w:tcW w:w="340" w:type="dxa"/>
            <w:vAlign w:val="bottom"/>
          </w:tcPr>
          <w:p>
            <w:pPr>
              <w:spacing w:after="0"/>
              <w:rPr>
                <w:sz w:val="22"/>
                <w:szCs w:val="22"/>
                <w:color w:val="auto"/>
              </w:rPr>
            </w:pPr>
          </w:p>
        </w:tc>
        <w:tc>
          <w:tcPr>
            <w:tcW w:w="1800" w:type="dxa"/>
            <w:vAlign w:val="bottom"/>
            <w:gridSpan w:val="2"/>
          </w:tcPr>
          <w:p>
            <w:pPr>
              <w:ind w:left="240"/>
              <w:spacing w:after="0"/>
              <w:rPr>
                <w:sz w:val="20"/>
                <w:szCs w:val="20"/>
                <w:color w:val="auto"/>
              </w:rPr>
            </w:pPr>
            <w:r>
              <w:rPr>
                <w:rFonts w:ascii="Arial" w:cs="Arial" w:eastAsia="Arial" w:hAnsi="Arial"/>
                <w:sz w:val="14"/>
                <w:szCs w:val="14"/>
                <w:b w:val="1"/>
                <w:bCs w:val="1"/>
                <w:color w:val="auto"/>
              </w:rPr>
              <w:t>2019 Program</w:t>
            </w:r>
          </w:p>
        </w:tc>
        <w:tc>
          <w:tcPr>
            <w:tcW w:w="340" w:type="dxa"/>
            <w:vAlign w:val="bottom"/>
          </w:tcPr>
          <w:p>
            <w:pPr>
              <w:spacing w:after="0"/>
              <w:rPr>
                <w:sz w:val="22"/>
                <w:szCs w:val="22"/>
                <w:color w:val="auto"/>
              </w:rPr>
            </w:pPr>
          </w:p>
        </w:tc>
        <w:tc>
          <w:tcPr>
            <w:tcW w:w="1680" w:type="dxa"/>
            <w:vAlign w:val="bottom"/>
          </w:tcPr>
          <w:p>
            <w:pPr>
              <w:jc w:val="right"/>
              <w:ind w:right="494"/>
              <w:spacing w:after="0"/>
              <w:rPr>
                <w:sz w:val="20"/>
                <w:szCs w:val="20"/>
                <w:color w:val="auto"/>
              </w:rPr>
            </w:pPr>
            <w:r>
              <w:rPr>
                <w:rFonts w:ascii="Arial" w:cs="Arial" w:eastAsia="Arial" w:hAnsi="Arial"/>
                <w:sz w:val="14"/>
                <w:szCs w:val="14"/>
                <w:b w:val="1"/>
                <w:bCs w:val="1"/>
                <w:color w:val="auto"/>
              </w:rPr>
              <w:t>2018 Program</w:t>
            </w:r>
          </w:p>
        </w:tc>
        <w:tc>
          <w:tcPr>
            <w:tcW w:w="0" w:type="dxa"/>
            <w:vAlign w:val="bottom"/>
          </w:tcPr>
          <w:p>
            <w:pPr>
              <w:spacing w:after="0"/>
              <w:rPr>
                <w:sz w:val="1"/>
                <w:szCs w:val="1"/>
                <w:color w:val="auto"/>
              </w:rPr>
            </w:pPr>
          </w:p>
        </w:tc>
      </w:tr>
      <w:tr>
        <w:trPr>
          <w:trHeight w:val="250"/>
        </w:trPr>
        <w:tc>
          <w:tcPr>
            <w:tcW w:w="49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purchased and retired</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Aggregate value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8"/>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Average price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66.58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59.47</w:t>
            </w:r>
          </w:p>
        </w:tc>
        <w:tc>
          <w:tcPr>
            <w:tcW w:w="0" w:type="dxa"/>
            <w:vAlign w:val="bottom"/>
          </w:tcPr>
          <w:p>
            <w:pPr>
              <w:spacing w:after="0"/>
              <w:rPr>
                <w:sz w:val="1"/>
                <w:szCs w:val="1"/>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Remaining authorization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8"/>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Covenants and Compliance</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March 31, 2020, we were in compliance with the covenants and other provisions of our debt agreements. Any failure to comply with any material provision or covenant of these agreements could have a material adverse effect on our liquidity and operations.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22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During the three months ended March 31, 2020, we: (i) generated cash from operating activities of $180 million; (ii) received net proceeds of $782 million on our debt and short-term borrowings; (iii) generated proceeds from sales of property and equipment (primarily real estate) of $54 million; and (iv) received proceeds of $42 million from bank overdrafts. We used cash during this period primarily to: (i) purchase property and equipment of $139 million; (ii) repurchase common stock of $114 million; and (iii) make payments on debt and finance leases of $25 million.</w:t>
      </w:r>
    </w:p>
    <w:p>
      <w:pPr>
        <w:spacing w:after="0" w:line="63" w:lineRule="exact"/>
        <w:rPr>
          <w:sz w:val="20"/>
          <w:szCs w:val="20"/>
          <w:color w:val="auto"/>
        </w:rPr>
      </w:pPr>
    </w:p>
    <w:p>
      <w:pPr>
        <w:ind w:right="2920"/>
        <w:spacing w:after="0" w:line="291" w:lineRule="auto"/>
        <w:rPr>
          <w:sz w:val="20"/>
          <w:szCs w:val="20"/>
          <w:color w:val="auto"/>
        </w:rPr>
      </w:pPr>
      <w:r>
        <w:rPr>
          <w:rFonts w:ascii="Arial" w:cs="Arial" w:eastAsia="Arial" w:hAnsi="Arial"/>
          <w:sz w:val="16"/>
          <w:szCs w:val="16"/>
          <w:color w:val="auto"/>
        </w:rPr>
        <w:t>During the three months ended March 31, 2019, we: (i) collected $71 million on a deferred purchase price receivable, (ii) generated proceeds from sales of property and equipment of $47 million, and (iii) received proceeds</w:t>
      </w:r>
    </w:p>
    <w:p>
      <w:pPr>
        <w:ind w:right="40"/>
        <w:spacing w:after="0" w:line="255" w:lineRule="auto"/>
        <w:rPr>
          <w:sz w:val="20"/>
          <w:szCs w:val="20"/>
          <w:color w:val="auto"/>
        </w:rPr>
      </w:pPr>
      <w:r>
        <w:rPr>
          <w:rFonts w:ascii="Arial" w:cs="Arial" w:eastAsia="Arial" w:hAnsi="Arial"/>
          <w:sz w:val="18"/>
          <w:szCs w:val="18"/>
          <w:color w:val="auto"/>
        </w:rPr>
        <w:t>of $1.8 billion on our long-term debt. We used cash during this period principally to: (i) fund operations of $96 million, (ii) purchase property and equipment of $118 million, (iii) repurchase common stock of $1.2 billion, (iv) make payments on long-term debt and capital leases of $534 million, and (v) pay debt issuance costs of $24 million.</w:t>
      </w:r>
    </w:p>
    <w:p>
      <w:pPr>
        <w:spacing w:after="0" w:line="8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Cash flows from operating activities for the three months ended March 31, 2020 increased by $276 million, compared with the same period in 2019. The increase reflects the impact of lower cash usage of $318 million from operating assets and liabilities, partially offset by $42 million of lower cash-related net income for the three months ended March 31, 2020, compared with the same period in 2019. Cash-related net income represents total cash flows from operating activities less changes in assets and liabilities on the Condensed Consolidated Statements of Cash Flows. The largest components of cash-related net income are Net income plus Depreciation, amortization and net lease activity. Within operating assets and liabilities, accounts receivable was a source of cash for the three months ended March 31, 2020 as compared to a significant use of cash in the prior period reflecting: (i) lower revenues in the current period, in particular in the second half of March as we began to experience the impacts of COVID-19; and (ii) a year-over-year increase of $80 million in proceeds from factoring; partially offset by a use of cash related to unbilled accounts receivable versus a source of cash in the prior year quarter. The impact on accounts receivable was partially offset by $27 million of higher interest payments in the first quarter of 2020. The lower cash-related net income primarily reflects lower operating income year-over-year, exclusive of the impact of gains on sale of property and equipment.</w:t>
      </w:r>
    </w:p>
    <w:p>
      <w:pPr>
        <w:spacing w:after="0" w:line="6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Investing activities used $79 million of cash in the three months ended March 31, 2020 and were cash neutral in the three months ended March 31, 2019. During the three months ended March 31, 2020, we: (i) used $139 million of cash to purchase property and equipment; and (ii) received $54 million from sales of property and equipment. During the three months ended March 31, 2019, we primarily: (i) used $118 million of cash to purchase property and equipment; (ii) received $47 million from sales of property and equipment; and (iii) received proceeds of $71 million related to the realization of cash on deferred purchase price receivable.</w:t>
      </w:r>
    </w:p>
    <w:p>
      <w:pPr>
        <w:spacing w:after="0" w:line="8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Financing activities provided $668 million of cash in the three months ended March 31, 2020 and used $29 million of cash in the three months ended March 31, 2019. The primary sources of cash from financing activities during the three months ended March 31, 2020 were: (i) $600 million of proceeds from borrowings on our ABL Facility, net of payments; (ii) $182 million of proceeds from borrowings related to our securitization program; and (iii) $42 million from bank overdrafts. The primary uses of cash during the first three months of 2020 were: (i) $114 million used to purchase XPO common stock; and (ii) $25 million used to repay borrowings. By comparison, the primary uses of cash during the three months ended March 31, 2019 were the $1.2 billion repurchase of XPO common stock and a $500 million repayment of borrowings under the unsecured credit facility. The primary sources of cash from financing activities during the three months ended March 31, 2019 were $1.7 billion of net proceeds from the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22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issuance of long-term debt, consisting of the incremental term loans and Senior Notes due 2024, as well as amounts received under the senior variable funding notes in connection with our trade securitization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three months ended March 31, 2020, there were no material changes to our December 31, 2019 contractual obligations. We anticipate net capital expenditures to be between $200 million and $250 million in 2020, which reflects a decrease of approximately $275 million from the estimate provided in our 2019 Form 10-K due to the impact of COVID-19, as discussed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Information related to new accounting standards is included in Note 1—Organization, Description of Business and Basis of Presentation to our Condensed Consolidated Financial Statements in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exposed to market risk related to changes in interest rates, foreign currency exchange rates and commodity risk. Other than the broad effects on economic conditions as a result of the COVID-19 pandemic, there have been no material changes to our quantitative and qualitative disclosures about market risk during the three months ended March 31, 2020, as compared with the quantitative and qualitative disclosures about market risk described in our Annual Report on Form 10-K for the year ended December 31,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(“CEO”) and Chief Financial Officer (“CFO”), we conducted an evaluation of the effectiveness of the design and operation of our disclosure controls and procedures, as such term is defined in Rule 13a-15(e) and Rule 15d-15(e) under the Securities Exchange Act of 1934, as amended as of March 31, 2020. Based on that evaluation, our CEO and CFO concluded that our disclosure controls and procedures as of March 31, 2020 were effective as of such time such that the information required to be included in our Securities and Exchange Commission (“SEC”) reports is: (i) recorded, processed, summarized and reported within the time periods specified in SEC rules and forms relating to the Company, including our consolidated subsidiaries; and (ii) accumulated and communicated to our management, including our CEO and CFO, as appropriate to allow timely decisions regarding required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the quarter ended March 31, 2020 that have materially affected, or are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Intermodal Drayage Classification Claims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Certain of our intermodal drayage subsidiaries are defendants in several multi-plaintiff and putative class action litigations brought by independent contract carriers in California who contracted with these subsidiaries. In these cases, the contract carriers, and in some instances the contract carriers’ employees, assert that they should be classified as employees, rather than independent contractors. The particular claims asserted vary from case to case but generally include claims for unpaid wages, unpaid overtime, unpaid wages for missed meal and rest periods, and reimbursement of the contract carriers’ business expenses. We are unable at this time to estimate the amount of the possible loss or range of loss, if any, that we may incur as a result of these claims given, among other reasons, that the range of potential loss could be impacted substantially by future rulings by the courts involved, including on the merits of the claims.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22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Last Mile Logistics Classification Claims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Some of our last mile logistics subsidiaries are defendants in several putative class action litigations brought by independent contract carriers in multiple jurisdictions who contracted with these subsidiaries. In these cases, the contract carriers, and in certain instances the contract carriers’ employees, assert that they should be classified as employees, rather than independent contractors. The particular claims asserted vary from case to case but generally include claims for unpaid wages, unpaid overtime, unpaid wages for missed meal and rest periods, and reimbursement of the contract carriers’ business expenses. We are unable at this time to estimate the amount of the possible loss or range of loss, if any, in excess of our accrued liability that we may incur as a result of these claims given, among other reasons, that the number and identities of plaintiffs in these lawsuits are uncertain and the range of potential loss could be impacted substantially by future rulings by the courts involved, including on the merits of the claims.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117" w:lineRule="exact"/>
        <w:rPr>
          <w:sz w:val="20"/>
          <w:szCs w:val="20"/>
          <w:color w:val="auto"/>
        </w:rPr>
      </w:pPr>
    </w:p>
    <w:p>
      <w:pPr>
        <w:jc w:val="both"/>
        <w:ind w:right="280"/>
        <w:spacing w:after="0" w:line="285" w:lineRule="auto"/>
        <w:rPr>
          <w:sz w:val="20"/>
          <w:szCs w:val="20"/>
          <w:color w:val="auto"/>
        </w:rPr>
      </w:pPr>
      <w:r>
        <w:rPr>
          <w:rFonts w:ascii="Arial" w:cs="Arial" w:eastAsia="Arial" w:hAnsi="Arial"/>
          <w:sz w:val="16"/>
          <w:szCs w:val="16"/>
          <w:color w:val="auto"/>
        </w:rPr>
        <w:t xml:space="preserve">On December 14, 2018, a putative class action captioned </w:t>
      </w:r>
      <w:r>
        <w:rPr>
          <w:rFonts w:ascii="Arial" w:cs="Arial" w:eastAsia="Arial" w:hAnsi="Arial"/>
          <w:sz w:val="16"/>
          <w:szCs w:val="16"/>
          <w:i w:val="1"/>
          <w:iCs w:val="1"/>
          <w:color w:val="auto"/>
        </w:rPr>
        <w:t>Labul v. XPO Logistics, Inc. et al.</w:t>
      </w:r>
      <w:r>
        <w:rPr>
          <w:rFonts w:ascii="Arial" w:cs="Arial" w:eastAsia="Arial" w:hAnsi="Arial"/>
          <w:sz w:val="16"/>
          <w:szCs w:val="16"/>
          <w:color w:val="auto"/>
        </w:rPr>
        <w:t>, No. 3:18-cv-02062 (D. Conn.) was filed in the U.S. District Court for the District of Connecticut against us and some of our current and former executives, alleging violations of Section 10(b) of the Exchange Act and Rule 10b-5 thereunder, and Section 20(a) of the Exchange Act, based on alleged material misstatements and omissions in our public filings with the U.S. Securities and Exchange Commission. On June 3, 2019, lead plaintiffs Local 817 IBT Pension Fund, Local 272 Labor-Management Pension Fund, and Local 282 Pension Trust Fund and Local 282 Welfare Trust Fund (together, the “Pension Funds”) filed a consolidated class action complaint.</w:t>
      </w:r>
    </w:p>
    <w:p>
      <w:pPr>
        <w:spacing w:after="0" w:line="2"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Defendants moved to dismiss the consolidated class action complaint on August 2, 2019. On November 4, 2019, the court dismissed the consolidated class action complaint without prejudice to the filing of an amended complaint. The Pension Funds, on January 3, 2020, filed a first amended consolidated class action complaint against us and a current executive. Defendants moved to dismiss the first amended consolidated class action complaint on March 3, 2020. Briefing on defendants’ motion is ongoing.</w:t>
      </w:r>
    </w:p>
    <w:p>
      <w:pPr>
        <w:spacing w:after="0" w:line="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Also, on May 13, 2019, Adriana Jez filed a purported shareholder derivative action captioned </w:t>
      </w:r>
      <w:r>
        <w:rPr>
          <w:rFonts w:ascii="Arial" w:cs="Arial" w:eastAsia="Arial" w:hAnsi="Arial"/>
          <w:sz w:val="17"/>
          <w:szCs w:val="17"/>
          <w:i w:val="1"/>
          <w:iCs w:val="1"/>
          <w:color w:val="auto"/>
        </w:rPr>
        <w:t>Jez v. Jacobs, et al.</w:t>
      </w:r>
      <w:r>
        <w:rPr>
          <w:rFonts w:ascii="Arial" w:cs="Arial" w:eastAsia="Arial" w:hAnsi="Arial"/>
          <w:sz w:val="17"/>
          <w:szCs w:val="17"/>
          <w:color w:val="auto"/>
        </w:rPr>
        <w:t>, No. 19-cv-889-RGA (D. Del.) (“</w:t>
      </w:r>
      <w:r>
        <w:rPr>
          <w:rFonts w:ascii="Arial" w:cs="Arial" w:eastAsia="Arial" w:hAnsi="Arial"/>
          <w:sz w:val="17"/>
          <w:szCs w:val="17"/>
          <w:i w:val="1"/>
          <w:iCs w:val="1"/>
          <w:color w:val="auto"/>
        </w:rPr>
        <w:t>Jez</w:t>
      </w:r>
      <w:r>
        <w:rPr>
          <w:rFonts w:ascii="Arial" w:cs="Arial" w:eastAsia="Arial" w:hAnsi="Arial"/>
          <w:sz w:val="17"/>
          <w:szCs w:val="17"/>
          <w:color w:val="auto"/>
        </w:rPr>
        <w:t xml:space="preserve"> complaint”) in the U.S. District Court for the District of Delaware, alleging breaches of fiduciary duty, unjust enrichment, waste of corporate assets, and violations of the Exchange Act against some of our current and former directors and officers, with the company as a nominal defendant. The </w:t>
      </w:r>
      <w:r>
        <w:rPr>
          <w:rFonts w:ascii="Arial" w:cs="Arial" w:eastAsia="Arial" w:hAnsi="Arial"/>
          <w:sz w:val="17"/>
          <w:szCs w:val="17"/>
          <w:i w:val="1"/>
          <w:iCs w:val="1"/>
          <w:color w:val="auto"/>
        </w:rPr>
        <w:t>Jez</w:t>
      </w:r>
      <w:r>
        <w:rPr>
          <w:rFonts w:ascii="Arial" w:cs="Arial" w:eastAsia="Arial" w:hAnsi="Arial"/>
          <w:sz w:val="17"/>
          <w:szCs w:val="17"/>
          <w:color w:val="auto"/>
        </w:rPr>
        <w:t xml:space="preserve"> complaint was later consolidated with similar derivative complaints filed by purported shareholders Erin Candler and Kevin Rose under the caption </w:t>
      </w:r>
      <w:r>
        <w:rPr>
          <w:rFonts w:ascii="Arial" w:cs="Arial" w:eastAsia="Arial" w:hAnsi="Arial"/>
          <w:sz w:val="17"/>
          <w:szCs w:val="17"/>
          <w:i w:val="1"/>
          <w:iCs w:val="1"/>
          <w:color w:val="auto"/>
        </w:rPr>
        <w:t>In re XPO</w:t>
      </w:r>
      <w:r>
        <w:rPr>
          <w:rFonts w:ascii="Arial" w:cs="Arial" w:eastAsia="Arial" w:hAnsi="Arial"/>
          <w:sz w:val="17"/>
          <w:szCs w:val="17"/>
          <w:color w:val="auto"/>
        </w:rPr>
        <w:t xml:space="preserve"> </w:t>
      </w:r>
      <w:r>
        <w:rPr>
          <w:rFonts w:ascii="Arial" w:cs="Arial" w:eastAsia="Arial" w:hAnsi="Arial"/>
          <w:sz w:val="17"/>
          <w:szCs w:val="17"/>
          <w:i w:val="1"/>
          <w:iCs w:val="1"/>
          <w:color w:val="auto"/>
        </w:rPr>
        <w:t>Logistics, Inc. Derivative Litigation</w:t>
      </w:r>
      <w:r>
        <w:rPr>
          <w:rFonts w:ascii="Arial" w:cs="Arial" w:eastAsia="Arial" w:hAnsi="Arial"/>
          <w:sz w:val="17"/>
          <w:szCs w:val="17"/>
          <w:color w:val="auto"/>
        </w:rPr>
        <w:t>, No. 19-cv-889-RGA (D. Del.). On December 12, 2019, the court ordered plaintiffs to designate an operative complaint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file an amended complaint within 45 days. On January 27, 2020, plaintiffs designated the </w:t>
      </w:r>
      <w:r>
        <w:rPr>
          <w:rFonts w:ascii="Arial" w:cs="Arial" w:eastAsia="Arial" w:hAnsi="Arial"/>
          <w:sz w:val="17"/>
          <w:szCs w:val="17"/>
          <w:i w:val="1"/>
          <w:iCs w:val="1"/>
          <w:color w:val="auto"/>
        </w:rPr>
        <w:t>Jez</w:t>
      </w:r>
      <w:r>
        <w:rPr>
          <w:rFonts w:ascii="Arial" w:cs="Arial" w:eastAsia="Arial" w:hAnsi="Arial"/>
          <w:sz w:val="17"/>
          <w:szCs w:val="17"/>
          <w:color w:val="auto"/>
        </w:rPr>
        <w:t xml:space="preserve"> complaint as the operative complaint in the consolidated cases. Defendants moved to dismiss the operative complaint on February 26, 2020. Rather than file a brief in opposition, on March 27, 2020, plaintiffs moved for leave to file a further amended complaint and to stay briefing on defendants’ motions to dismiss. Defendants opposed plaintiffs’ motions, which were fully briefed on April 20, 2020, and are awaiting decision by the Court.</w:t>
      </w:r>
    </w:p>
    <w:p>
      <w:pPr>
        <w:spacing w:after="0" w:line="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believe these suits are without merit and we intend to defend the company vigorously against the allegations. We are unable at this time to determine the amount of the possible loss or range of loss, if any, that we may incur as a result of these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addition to the information set forth in this Form 10-Q and the risk factors previously disclosed in Part I, Item 1A of our Annual Report on Form 10-K for the year ended December 31, 2019, you should carefully consider the following risk factors which could materially affect our business, financial condition or future results.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could have a material adverse effect on our business operations, results of operations, cash flows and financial position</w:t>
      </w:r>
    </w:p>
    <w:p>
      <w:pPr>
        <w:spacing w:after="0" w:line="14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are closely monitoring the impact of the COVID-19 pandemic on all aspects of our business and geographies, including how it will impact our customers, employees and other business partners. The COVID-19 pandemic has created significant volatility, uncertainty and economic disruption, which will adversely affect our business operations and may materially and adversely affect our results of operations, cash flows and financial position.</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22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 example, customer demand for our services in many parts of our business has been materially and negatively impacted by the mandated closure of our customers’ operations or points of sale, while customer demand for our services in other parts of our business has increased as consumers stockpile goods or switch to e-commerce platforms to make purchases. From a demand standpoint, the last half of March saw demand decline sharply, most notably in Europe, as large sectors of the economy began to shut down, which has continued into April. We are unable to accurately predict the impact that COVID-19 will have on our operations going forward due to uncertainties including the severity and duration of the outbreak and additional actions that may be taken by governmental authorities. However, we currently expect that our results of operations and financial condition will be more significantly adversely impacted in the second quarter of 2020 and subsequent periods than in the quarter ended March 31, 2020, as levels of activity in our business have historically been positively correlated to broad measures of economic activity, such as gross domestic product and to measures of industrial economic activity. In addition, we have incurred additional costs to ensure we meet the needs of our customers and employees, including costs for personal protective equipment, site closures and cleaning and enhanced employee benefits such as additional paid leave and health benefits (including pandemic paid sick leave). We expect to continue to incur additional costs, which may be significant, as we continue to implement operational changes in response to the pandemic.</w:t>
      </w:r>
    </w:p>
    <w:p>
      <w:pPr>
        <w:spacing w:after="0" w:line="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Further, our management is focused on mitigating the effects of COVID-19 on our business operations while protecting the health of our employees, which has required and will continue to require, a large investment of time and resources across our enterprise. In addition, we expect to reduce our capital expenditures this year substantially.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do not respond appropriately to the pandemic, or if customers do not perceive our response to be adequate for the United States, Europe or our other international markets, we could suffer damage to our reputation and our brand, which could adversely affect our business. Likewise, an extended period of remote work arrangements could strain our business continuity plans, introduce operational risk, including but not limited to cybersecurity risks, and impair our ability to manage our business.</w:t>
      </w:r>
    </w:p>
    <w:p>
      <w:pPr>
        <w:spacing w:after="0" w:line="7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effect of the COVID-19 pandemic may remain prevalent for a significant period of time and may continue to adversely affect our business, results of operations and financial condition even after the COVID-19 outbreak has subsided. The extent to which the COVID-19 pandemic impacts us will depend on numerous evolving factors and future developments that we are not able to predict, including: the severity and duration of the outbreak; governmental, business and other actions (which could include limitations on our operations or mandates to provide services in a specified manner); the promotion of social distancing and the adoption of shelter-in-place orders affecting our ability to provide our services; the impact of the pandemic on economic activity; the extent and duration of the effect on consumer confidence and spending, customer demand and buying patterns; the health of and the effect on our workforce and our ability to meet staffing needs, particularly if members of our workforce are quarantined as a result of exposure; any impairment in value of our tangible or intangible assets which could be recorded as a result of weaker economic conditions; and the potential effects on our internal controls including those over financial reporting as a result of changes in working environments such as shelter-in-place and similar orders that are applicable to our employees and business partners, among others. Further, provisions for bad debt expense may increase given the financial difficulty faced by our business partners, which could, among other things, impact our ability to borrow under our trade receivables securitization program and/or our revolving credit facility. In addition, if the pandemic continues to create disruptions or turmoil in the credit or financial markets, or impacts our credit ratings, it could adversely affect our ability to access capital on favorable terms and continue to meet our liquidity needs, all of which are highly uncertain and cannot be predicted.</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There are no comparable recent events that provide guidance as to the effect the spread of COVID-19 as a global pandemic may have, and, as a result, the ultimate impact of the outbreak is highly uncertain and subject to change. We do not yet know the full extent of the impacts on our business, our customers, our operations or the global economy as a whole. However, the effects could have a material impact on our results of operations and heighten many of our known risks described in this Form 10-Q and the “Risk Factors” section of our Annual Report on Form 10-K for the year ended December 31, 2019, which is incorporated by reference 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February 18, 2020, pursuant to the Investment Agreement dated as of June 13, 2011 by and among Jacobs Private Equity, LLC (“JPE”) and the other investors party thereto (collectively with JPE, the “Investors”) we issued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22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12,750 unregistered shares of our common stock as a result of the exercise of warrants by certain shareholders for cash resulting in the receipt of $89,250 of total proceeds. The proceeds received will be used for general corporate purposes. The issuance of these shares was exempt from the registration requirements of the Securities Act of 1933, as amended, in accordance with Section 4(a)(2) thereof, as a transaction by an issuer not involving any public offering.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190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Average Price</w:t>
            </w:r>
          </w:p>
        </w:tc>
        <w:tc>
          <w:tcPr>
            <w:tcW w:w="2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2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4"/>
              </w:rPr>
              <w:t xml:space="preserve">Shares Purchased </w:t>
            </w:r>
            <w:r>
              <w:rPr>
                <w:rFonts w:ascii="Arial" w:cs="Arial" w:eastAsia="Arial" w:hAnsi="Arial"/>
                <w:sz w:val="8"/>
                <w:szCs w:val="8"/>
                <w:b w:val="1"/>
                <w:bCs w:val="1"/>
                <w:color w:val="auto"/>
                <w:w w:val="94"/>
              </w:rPr>
              <w:t>(1)</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Paid Per Share</w:t>
            </w:r>
          </w:p>
        </w:tc>
        <w:tc>
          <w:tcPr>
            <w:tcW w:w="10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Plans or Programs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0" w:type="dxa"/>
            <w:vAlign w:val="bottom"/>
          </w:tcPr>
          <w:p>
            <w:pPr>
              <w:spacing w:after="0"/>
              <w:rPr>
                <w:sz w:val="1"/>
                <w:szCs w:val="1"/>
                <w:color w:val="auto"/>
              </w:rPr>
            </w:pPr>
          </w:p>
        </w:tc>
      </w:tr>
      <w:tr>
        <w:trPr>
          <w:trHeight w:val="236"/>
        </w:trPr>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January 2020</w:t>
            </w:r>
          </w:p>
        </w:tc>
        <w:tc>
          <w:tcPr>
            <w:tcW w:w="13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37"/>
        </w:trPr>
        <w:tc>
          <w:tcPr>
            <w:tcW w:w="4280" w:type="dxa"/>
            <w:vAlign w:val="bottom"/>
            <w:gridSpan w:val="2"/>
          </w:tcPr>
          <w:p>
            <w:pPr>
              <w:ind w:left="40"/>
              <w:spacing w:after="0"/>
              <w:rPr>
                <w:sz w:val="20"/>
                <w:szCs w:val="20"/>
                <w:color w:val="auto"/>
              </w:rPr>
            </w:pPr>
            <w:r>
              <w:rPr>
                <w:rFonts w:ascii="Arial" w:cs="Arial" w:eastAsia="Arial" w:hAnsi="Arial"/>
                <w:sz w:val="16"/>
                <w:szCs w:val="16"/>
                <w:color w:val="auto"/>
              </w:rPr>
              <w:t>February 2020</w:t>
            </w:r>
          </w:p>
        </w:tc>
        <w:tc>
          <w:tcPr>
            <w:tcW w:w="13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900" w:type="dxa"/>
            <w:vAlign w:val="bottom"/>
          </w:tcPr>
          <w:p>
            <w:pPr>
              <w:jc w:val="right"/>
              <w:ind w:right="23"/>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2020</w:t>
            </w:r>
          </w:p>
        </w:tc>
        <w:tc>
          <w:tcPr>
            <w:tcW w:w="13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66.58</w:t>
            </w:r>
          </w:p>
        </w:tc>
        <w:tc>
          <w:tcPr>
            <w:tcW w:w="10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43"/>
        </w:trPr>
        <w:tc>
          <w:tcPr>
            <w:tcW w:w="428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66.58</w:t>
            </w:r>
          </w:p>
        </w:tc>
        <w:tc>
          <w:tcPr>
            <w:tcW w:w="100" w:type="dxa"/>
            <w:vAlign w:val="bottom"/>
          </w:tcPr>
          <w:p>
            <w:pPr>
              <w:spacing w:after="0"/>
              <w:rPr>
                <w:sz w:val="21"/>
                <w:szCs w:val="21"/>
                <w:color w:val="auto"/>
              </w:rPr>
            </w:pPr>
          </w:p>
        </w:tc>
        <w:tc>
          <w:tcPr>
            <w:tcW w:w="21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Based on settlement date.</w:t>
      </w:r>
    </w:p>
    <w:p>
      <w:pPr>
        <w:spacing w:after="0" w:line="109" w:lineRule="exact"/>
        <w:rPr>
          <w:rFonts w:ascii="Arial" w:cs="Arial" w:eastAsia="Arial" w:hAnsi="Arial"/>
          <w:sz w:val="14"/>
          <w:szCs w:val="14"/>
          <w:color w:val="auto"/>
        </w:rPr>
      </w:pPr>
    </w:p>
    <w:p>
      <w:pPr>
        <w:ind w:left="660" w:right="220" w:hanging="328"/>
        <w:spacing w:after="0" w:line="257"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On February 14, 2019, we announced that our Board of Directors authorized repurchases of up to $1.5 billion of our common stock. We are not obligated to repurchase any specific number of shares and may suspend or discontinue the program at any time. Also, the program does not have an expiration date. For further details, refer to Note 7—Stockholders’ Equity to our Condensed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22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Exhibit</w:t>
            </w:r>
          </w:p>
        </w:tc>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8"/>
        </w:trPr>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Number</w:t>
            </w:r>
          </w:p>
        </w:tc>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380" w:type="dxa"/>
            <w:vAlign w:val="bottom"/>
            <w:gridSpan w:val="5"/>
          </w:tcPr>
          <w:p>
            <w:pPr>
              <w:ind w:left="2100"/>
              <w:spacing w:after="0"/>
              <w:rPr>
                <w:sz w:val="20"/>
                <w:szCs w:val="20"/>
                <w:color w:val="auto"/>
              </w:rPr>
            </w:pPr>
            <w:r>
              <w:rPr>
                <w:rFonts w:ascii="Arial" w:cs="Arial" w:eastAsia="Arial" w:hAnsi="Arial"/>
                <w:sz w:val="14"/>
                <w:szCs w:val="14"/>
                <w:color w:val="auto"/>
              </w:rPr>
              <w:t>Description</w:t>
            </w:r>
          </w:p>
        </w:tc>
      </w:tr>
      <w:tr>
        <w:trPr>
          <w:trHeight w:val="323"/>
        </w:trPr>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10.1 *+</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40" w:type="dxa"/>
            <w:vAlign w:val="bottom"/>
            <w:tcBorders>
              <w:top w:val="single" w:sz="8" w:color="auto"/>
              <w:bottom w:val="single" w:sz="8" w:color="0000FF"/>
            </w:tcBorders>
            <w:gridSpan w:val="5"/>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Employment Agreement, effective as of February 3, 2020, and Amendment to Employment Agreement, dated April 7, 2020, between</w:t>
              </w:r>
            </w:hyperlink>
          </w:p>
        </w:tc>
        <w:tc>
          <w:tcPr>
            <w:tcW w:w="220" w:type="dxa"/>
            <w:vAlign w:val="bottom"/>
            <w:tcBorders>
              <w:top w:val="single" w:sz="8" w:color="auto"/>
            </w:tcBorders>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Borders>
              <w:bottom w:val="single" w:sz="8" w:color="0000FF"/>
            </w:tcBorders>
          </w:tcPr>
          <w:p>
            <w:pPr>
              <w:spacing w:after="0" w:line="196" w:lineRule="exact"/>
              <w:rPr>
                <w:rFonts w:ascii="Arial" w:cs="Arial" w:eastAsia="Arial" w:hAnsi="Arial"/>
                <w:sz w:val="18"/>
                <w:szCs w:val="18"/>
                <w:color w:val="0000FF"/>
                <w:w w:val="90"/>
              </w:rPr>
            </w:pPr>
            <w:hyperlink w:anchor="page37">
              <w:r>
                <w:rPr>
                  <w:rFonts w:ascii="Arial" w:cs="Arial" w:eastAsia="Arial" w:hAnsi="Arial"/>
                  <w:sz w:val="18"/>
                  <w:szCs w:val="18"/>
                  <w:color w:val="0000FF"/>
                  <w:w w:val="90"/>
                </w:rPr>
                <w:t>the registrant and Kurt M. Rogers.</w:t>
              </w:r>
            </w:hyperlink>
          </w:p>
        </w:tc>
        <w:tc>
          <w:tcPr>
            <w:tcW w:w="7380" w:type="dxa"/>
            <w:vAlign w:val="bottom"/>
            <w:gridSpan w:val="5"/>
          </w:tcPr>
          <w:p>
            <w:pPr>
              <w:spacing w:after="0"/>
              <w:rPr>
                <w:sz w:val="17"/>
                <w:szCs w:val="17"/>
                <w:color w:val="auto"/>
              </w:rPr>
            </w:pPr>
          </w:p>
        </w:tc>
      </w:tr>
      <w:tr>
        <w:trPr>
          <w:trHeight w:val="412"/>
        </w:trPr>
        <w:tc>
          <w:tcPr>
            <w:tcW w:w="1240" w:type="dxa"/>
            <w:vAlign w:val="bottom"/>
          </w:tcPr>
          <w:p>
            <w:pPr>
              <w:jc w:val="center"/>
              <w:spacing w:after="0"/>
              <w:rPr>
                <w:sz w:val="20"/>
                <w:szCs w:val="20"/>
                <w:color w:val="auto"/>
              </w:rPr>
            </w:pPr>
            <w:r>
              <w:rPr>
                <w:rFonts w:ascii="Arial" w:cs="Arial" w:eastAsia="Arial" w:hAnsi="Arial"/>
                <w:sz w:val="18"/>
                <w:szCs w:val="18"/>
                <w:color w:val="auto"/>
                <w:w w:val="93"/>
              </w:rPr>
              <w:t>10.2 *+</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color w:val="0000FF"/>
              </w:rPr>
            </w:pPr>
            <w:hyperlink w:anchor="page84">
              <w:r>
                <w:rPr>
                  <w:rFonts w:ascii="Arial" w:cs="Arial" w:eastAsia="Arial" w:hAnsi="Arial"/>
                  <w:sz w:val="18"/>
                  <w:szCs w:val="18"/>
                  <w:u w:val="single" w:color="auto"/>
                  <w:color w:val="0000FF"/>
                </w:rPr>
                <w:t>Employment Agreement, effective as of March 2, 2020, between the registrant and David B. Wyshner</w:t>
              </w:r>
              <w:r>
                <w:rPr>
                  <w:rFonts w:ascii="Arial" w:cs="Arial" w:eastAsia="Arial" w:hAnsi="Arial"/>
                  <w:sz w:val="18"/>
                  <w:szCs w:val="18"/>
                  <w:color w:val="0000FF"/>
                </w:rPr>
                <w:t>.</w:t>
              </w:r>
            </w:hyperlink>
          </w:p>
        </w:tc>
      </w:tr>
      <w:tr>
        <w:trPr>
          <w:trHeight w:val="351"/>
        </w:trPr>
        <w:tc>
          <w:tcPr>
            <w:tcW w:w="1240" w:type="dxa"/>
            <w:vAlign w:val="bottom"/>
          </w:tcPr>
          <w:p>
            <w:pPr>
              <w:jc w:val="center"/>
              <w:spacing w:after="0"/>
              <w:rPr>
                <w:sz w:val="20"/>
                <w:szCs w:val="20"/>
                <w:color w:val="auto"/>
              </w:rPr>
            </w:pPr>
            <w:r>
              <w:rPr>
                <w:rFonts w:ascii="Arial" w:cs="Arial" w:eastAsia="Arial" w:hAnsi="Arial"/>
                <w:sz w:val="18"/>
                <w:szCs w:val="18"/>
                <w:color w:val="auto"/>
                <w:w w:val="97"/>
              </w:rPr>
              <w:t>31.1 *</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127">
              <w:r>
                <w:rPr>
                  <w:rFonts w:ascii="Arial" w:cs="Arial" w:eastAsia="Arial" w:hAnsi="Arial"/>
                  <w:sz w:val="18"/>
                  <w:szCs w:val="18"/>
                  <w:color w:val="0000FF"/>
                  <w:w w:val="91"/>
                </w:rPr>
                <w:t>Certification of the Principal Executive Officer pursuant to Section 302 of the Sarbanes-Oxley Act of 2002, with respect to the</w:t>
              </w:r>
            </w:hyperlink>
          </w:p>
        </w:tc>
        <w:tc>
          <w:tcPr>
            <w:tcW w:w="740" w:type="dxa"/>
            <w:vAlign w:val="bottom"/>
            <w:gridSpan w:val="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6"/>
          </w:tcPr>
          <w:p>
            <w:pPr>
              <w:spacing w:after="0" w:line="196" w:lineRule="exact"/>
              <w:rPr>
                <w:rFonts w:ascii="Arial" w:cs="Arial" w:eastAsia="Arial" w:hAnsi="Arial"/>
                <w:sz w:val="18"/>
                <w:szCs w:val="18"/>
                <w:color w:val="0000FF"/>
              </w:rPr>
            </w:pPr>
            <w:hyperlink w:anchor="page127">
              <w:r>
                <w:rPr>
                  <w:rFonts w:ascii="Arial" w:cs="Arial" w:eastAsia="Arial" w:hAnsi="Arial"/>
                  <w:sz w:val="18"/>
                  <w:szCs w:val="18"/>
                  <w:color w:val="0000FF"/>
                </w:rPr>
                <w:t>registrant’s Quarterly Report on Form 10-Q for the fiscal quarter ended March 31, 2020.</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60" w:type="dxa"/>
            <w:vAlign w:val="bottom"/>
            <w:gridSpan w:val="2"/>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r>
      <w:tr>
        <w:trPr>
          <w:trHeight w:val="372"/>
        </w:trPr>
        <w:tc>
          <w:tcPr>
            <w:tcW w:w="1240" w:type="dxa"/>
            <w:vAlign w:val="bottom"/>
          </w:tcPr>
          <w:p>
            <w:pPr>
              <w:jc w:val="center"/>
              <w:spacing w:after="0"/>
              <w:rPr>
                <w:sz w:val="20"/>
                <w:szCs w:val="20"/>
                <w:color w:val="auto"/>
              </w:rPr>
            </w:pPr>
            <w:r>
              <w:rPr>
                <w:rFonts w:ascii="Arial" w:cs="Arial" w:eastAsia="Arial" w:hAnsi="Arial"/>
                <w:sz w:val="18"/>
                <w:szCs w:val="18"/>
                <w:color w:val="auto"/>
                <w:w w:val="97"/>
              </w:rPr>
              <w:t>31.2 *</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color w:val="0000FF"/>
                <w:w w:val="99"/>
              </w:rPr>
            </w:pPr>
            <w:hyperlink w:anchor="page128">
              <w:r>
                <w:rPr>
                  <w:rFonts w:ascii="Arial" w:cs="Arial" w:eastAsia="Arial" w:hAnsi="Arial"/>
                  <w:sz w:val="18"/>
                  <w:szCs w:val="18"/>
                  <w:color w:val="0000FF"/>
                  <w:w w:val="99"/>
                </w:rPr>
                <w:t>Certification of the Principal Financial Officer pursuant to Section 302 of the Sarbanes-Oxley Act of 2002, with respect to the</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6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w:anchor="page128">
              <w:r>
                <w:rPr>
                  <w:rFonts w:ascii="Arial" w:cs="Arial" w:eastAsia="Arial" w:hAnsi="Arial"/>
                  <w:sz w:val="18"/>
                  <w:szCs w:val="18"/>
                  <w:color w:val="0000FF"/>
                </w:rPr>
                <w:t>registrant’s Quarterly Report on Form 10-Q for the fiscal quarter ended March 31, 2020.</w:t>
              </w:r>
            </w:hyperlink>
          </w:p>
        </w:tc>
        <w:tc>
          <w:tcPr>
            <w:tcW w:w="800" w:type="dxa"/>
            <w:vAlign w:val="bottom"/>
            <w:gridSpan w:val="3"/>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60" w:type="dxa"/>
            <w:vAlign w:val="bottom"/>
            <w:gridSpan w:val="2"/>
            <w:shd w:val="clear" w:color="auto" w:fill="0000FF"/>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r>
      <w:tr>
        <w:trPr>
          <w:trHeight w:val="372"/>
        </w:trPr>
        <w:tc>
          <w:tcPr>
            <w:tcW w:w="1240" w:type="dxa"/>
            <w:vAlign w:val="bottom"/>
          </w:tcPr>
          <w:p>
            <w:pPr>
              <w:jc w:val="center"/>
              <w:spacing w:after="0"/>
              <w:rPr>
                <w:sz w:val="20"/>
                <w:szCs w:val="20"/>
                <w:color w:val="auto"/>
              </w:rPr>
            </w:pPr>
            <w:r>
              <w:rPr>
                <w:rFonts w:ascii="Arial" w:cs="Arial" w:eastAsia="Arial" w:hAnsi="Arial"/>
                <w:sz w:val="18"/>
                <w:szCs w:val="18"/>
                <w:color w:val="auto"/>
                <w:w w:val="99"/>
              </w:rPr>
              <w:t>32.1 **</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129">
              <w:r>
                <w:rPr>
                  <w:rFonts w:ascii="Arial" w:cs="Arial" w:eastAsia="Arial" w:hAnsi="Arial"/>
                  <w:sz w:val="18"/>
                  <w:szCs w:val="18"/>
                  <w:color w:val="0000FF"/>
                  <w:w w:val="91"/>
                </w:rPr>
                <w:t>Certification of the Principal Executive Officer pursuant to Section 906 of the Sarbanes-Oxley Act of 2002, with respect to the</w:t>
              </w:r>
            </w:hyperlink>
          </w:p>
        </w:tc>
        <w:tc>
          <w:tcPr>
            <w:tcW w:w="740" w:type="dxa"/>
            <w:vAlign w:val="bottom"/>
            <w:gridSpan w:val="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6"/>
          </w:tcPr>
          <w:p>
            <w:pPr>
              <w:spacing w:after="0" w:line="196" w:lineRule="exact"/>
              <w:rPr>
                <w:rFonts w:ascii="Arial" w:cs="Arial" w:eastAsia="Arial" w:hAnsi="Arial"/>
                <w:sz w:val="18"/>
                <w:szCs w:val="18"/>
                <w:color w:val="0000FF"/>
              </w:rPr>
            </w:pPr>
            <w:hyperlink w:anchor="page129">
              <w:r>
                <w:rPr>
                  <w:rFonts w:ascii="Arial" w:cs="Arial" w:eastAsia="Arial" w:hAnsi="Arial"/>
                  <w:sz w:val="18"/>
                  <w:szCs w:val="18"/>
                  <w:color w:val="0000FF"/>
                </w:rPr>
                <w:t>registrant’s Quarterly Report on Form 10-Q for the fiscal quarter ended March 31, 2020.</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60" w:type="dxa"/>
            <w:vAlign w:val="bottom"/>
            <w:gridSpan w:val="2"/>
            <w:shd w:val="clear" w:color="auto" w:fill="0000FF"/>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r>
      <w:tr>
        <w:trPr>
          <w:trHeight w:val="372"/>
        </w:trPr>
        <w:tc>
          <w:tcPr>
            <w:tcW w:w="1240" w:type="dxa"/>
            <w:vAlign w:val="bottom"/>
          </w:tcPr>
          <w:p>
            <w:pPr>
              <w:jc w:val="center"/>
              <w:spacing w:after="0"/>
              <w:rPr>
                <w:sz w:val="20"/>
                <w:szCs w:val="20"/>
                <w:color w:val="auto"/>
              </w:rPr>
            </w:pPr>
            <w:r>
              <w:rPr>
                <w:rFonts w:ascii="Arial" w:cs="Arial" w:eastAsia="Arial" w:hAnsi="Arial"/>
                <w:sz w:val="18"/>
                <w:szCs w:val="18"/>
                <w:color w:val="auto"/>
                <w:w w:val="99"/>
              </w:rPr>
              <w:t>32.2 **</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color w:val="0000FF"/>
                <w:w w:val="99"/>
              </w:rPr>
            </w:pPr>
            <w:hyperlink w:anchor="page130">
              <w:r>
                <w:rPr>
                  <w:rFonts w:ascii="Arial" w:cs="Arial" w:eastAsia="Arial" w:hAnsi="Arial"/>
                  <w:sz w:val="18"/>
                  <w:szCs w:val="18"/>
                  <w:color w:val="0000FF"/>
                  <w:w w:val="99"/>
                </w:rPr>
                <w:t>Certification of the Principal Financial Officer pursuant to Section 906 of the Sarbanes-Oxley Act of 2002, with respect to the</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6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w:anchor="page130">
              <w:r>
                <w:rPr>
                  <w:rFonts w:ascii="Arial" w:cs="Arial" w:eastAsia="Arial" w:hAnsi="Arial"/>
                  <w:sz w:val="18"/>
                  <w:szCs w:val="18"/>
                  <w:color w:val="0000FF"/>
                </w:rPr>
                <w:t>registrant’s Quarterly Report on Form 10-Q for the fiscal quarter ended March 31, 2020.</w:t>
              </w:r>
            </w:hyperlink>
          </w:p>
        </w:tc>
        <w:tc>
          <w:tcPr>
            <w:tcW w:w="800" w:type="dxa"/>
            <w:vAlign w:val="bottom"/>
            <w:gridSpan w:val="3"/>
          </w:tcPr>
          <w:p>
            <w:pPr>
              <w:spacing w:after="0"/>
              <w:rPr>
                <w:sz w:val="17"/>
                <w:szCs w:val="17"/>
                <w:color w:val="auto"/>
              </w:rPr>
            </w:pPr>
          </w:p>
        </w:tc>
      </w:tr>
      <w:tr>
        <w:trPr>
          <w:trHeight w:val="20"/>
        </w:trPr>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60" w:type="dxa"/>
            <w:vAlign w:val="bottom"/>
            <w:gridSpan w:val="2"/>
            <w:shd w:val="clear" w:color="auto" w:fill="0000FF"/>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r>
      <w:tr>
        <w:trPr>
          <w:trHeight w:val="398"/>
        </w:trPr>
        <w:tc>
          <w:tcPr>
            <w:tcW w:w="136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3"/>
              </w:rPr>
              <w:t>101.INS *</w:t>
            </w:r>
          </w:p>
        </w:tc>
        <w:tc>
          <w:tcPr>
            <w:tcW w:w="20" w:type="dxa"/>
            <w:vAlign w:val="bottom"/>
          </w:tcPr>
          <w:p>
            <w:pPr>
              <w:spacing w:after="0"/>
              <w:rPr>
                <w:sz w:val="24"/>
                <w:szCs w:val="24"/>
                <w:color w:val="auto"/>
              </w:rPr>
            </w:pPr>
          </w:p>
        </w:tc>
        <w:tc>
          <w:tcPr>
            <w:tcW w:w="9860" w:type="dxa"/>
            <w:vAlign w:val="bottom"/>
            <w:gridSpan w:val="6"/>
          </w:tcPr>
          <w:p>
            <w:pPr>
              <w:spacing w:after="0"/>
              <w:rPr>
                <w:sz w:val="20"/>
                <w:szCs w:val="20"/>
                <w:color w:val="auto"/>
              </w:rPr>
            </w:pPr>
            <w:r>
              <w:rPr>
                <w:rFonts w:ascii="Arial" w:cs="Arial" w:eastAsia="Arial" w:hAnsi="Arial"/>
                <w:sz w:val="18"/>
                <w:szCs w:val="18"/>
                <w:i w:val="1"/>
                <w:iCs w:val="1"/>
                <w:color w:val="auto"/>
                <w:w w:val="92"/>
              </w:rPr>
              <w:t>XBRL Instance Document - the instance document does not appear in the Interactive Data File because its XBRL tags are embedded</w:t>
            </w:r>
          </w:p>
        </w:tc>
      </w:tr>
      <w:tr>
        <w:trPr>
          <w:trHeight w:val="230"/>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6"/>
          </w:tcPr>
          <w:p>
            <w:pPr>
              <w:spacing w:after="0"/>
              <w:rPr>
                <w:sz w:val="20"/>
                <w:szCs w:val="20"/>
                <w:color w:val="auto"/>
              </w:rPr>
            </w:pPr>
            <w:r>
              <w:rPr>
                <w:rFonts w:ascii="Arial" w:cs="Arial" w:eastAsia="Arial" w:hAnsi="Arial"/>
                <w:sz w:val="18"/>
                <w:szCs w:val="18"/>
                <w:i w:val="1"/>
                <w:iCs w:val="1"/>
                <w:color w:val="auto"/>
              </w:rPr>
              <w:t>within the Inline XBRL document.</w:t>
            </w:r>
          </w:p>
        </w:tc>
      </w:tr>
      <w:tr>
        <w:trPr>
          <w:trHeight w:val="392"/>
        </w:trPr>
        <w:tc>
          <w:tcPr>
            <w:tcW w:w="136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1"/>
              </w:rPr>
              <w:t>101.SCH *</w:t>
            </w:r>
          </w:p>
        </w:tc>
        <w:tc>
          <w:tcPr>
            <w:tcW w:w="20" w:type="dxa"/>
            <w:vAlign w:val="bottom"/>
          </w:tcPr>
          <w:p>
            <w:pPr>
              <w:spacing w:after="0"/>
              <w:rPr>
                <w:sz w:val="24"/>
                <w:szCs w:val="24"/>
                <w:color w:val="auto"/>
              </w:rPr>
            </w:pPr>
          </w:p>
        </w:tc>
        <w:tc>
          <w:tcPr>
            <w:tcW w:w="9860" w:type="dxa"/>
            <w:vAlign w:val="bottom"/>
            <w:gridSpan w:val="6"/>
          </w:tcPr>
          <w:p>
            <w:pPr>
              <w:spacing w:after="0"/>
              <w:rPr>
                <w:sz w:val="20"/>
                <w:szCs w:val="20"/>
                <w:color w:val="auto"/>
              </w:rPr>
            </w:pPr>
            <w:r>
              <w:rPr>
                <w:rFonts w:ascii="Arial" w:cs="Arial" w:eastAsia="Arial" w:hAnsi="Arial"/>
                <w:sz w:val="18"/>
                <w:szCs w:val="18"/>
                <w:i w:val="1"/>
                <w:iCs w:val="1"/>
                <w:color w:val="auto"/>
              </w:rPr>
              <w:t>XBRL Taxonomy Extension Schema.</w:t>
            </w:r>
          </w:p>
        </w:tc>
      </w:tr>
      <w:tr>
        <w:trPr>
          <w:trHeight w:val="391"/>
        </w:trPr>
        <w:tc>
          <w:tcPr>
            <w:tcW w:w="136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5"/>
              </w:rPr>
              <w:t>101.CAL *</w:t>
            </w:r>
          </w:p>
        </w:tc>
        <w:tc>
          <w:tcPr>
            <w:tcW w:w="20" w:type="dxa"/>
            <w:vAlign w:val="bottom"/>
          </w:tcPr>
          <w:p>
            <w:pPr>
              <w:spacing w:after="0"/>
              <w:rPr>
                <w:sz w:val="24"/>
                <w:szCs w:val="24"/>
                <w:color w:val="auto"/>
              </w:rPr>
            </w:pPr>
          </w:p>
        </w:tc>
        <w:tc>
          <w:tcPr>
            <w:tcW w:w="9860" w:type="dxa"/>
            <w:vAlign w:val="bottom"/>
            <w:gridSpan w:val="6"/>
          </w:tcPr>
          <w:p>
            <w:pPr>
              <w:spacing w:after="0"/>
              <w:rPr>
                <w:sz w:val="20"/>
                <w:szCs w:val="20"/>
                <w:color w:val="auto"/>
              </w:rPr>
            </w:pPr>
            <w:r>
              <w:rPr>
                <w:rFonts w:ascii="Arial" w:cs="Arial" w:eastAsia="Arial" w:hAnsi="Arial"/>
                <w:sz w:val="18"/>
                <w:szCs w:val="18"/>
                <w:i w:val="1"/>
                <w:iCs w:val="1"/>
                <w:color w:val="auto"/>
              </w:rPr>
              <w:t>XBRL Taxonomy Extension Calculation Linkbase.</w:t>
            </w:r>
          </w:p>
        </w:tc>
      </w:tr>
      <w:tr>
        <w:trPr>
          <w:trHeight w:val="392"/>
        </w:trPr>
        <w:tc>
          <w:tcPr>
            <w:tcW w:w="136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6"/>
              </w:rPr>
              <w:t>101.DEF *</w:t>
            </w:r>
          </w:p>
        </w:tc>
        <w:tc>
          <w:tcPr>
            <w:tcW w:w="20" w:type="dxa"/>
            <w:vAlign w:val="bottom"/>
          </w:tcPr>
          <w:p>
            <w:pPr>
              <w:spacing w:after="0"/>
              <w:rPr>
                <w:sz w:val="24"/>
                <w:szCs w:val="24"/>
                <w:color w:val="auto"/>
              </w:rPr>
            </w:pPr>
          </w:p>
        </w:tc>
        <w:tc>
          <w:tcPr>
            <w:tcW w:w="9860" w:type="dxa"/>
            <w:vAlign w:val="bottom"/>
            <w:gridSpan w:val="6"/>
          </w:tcPr>
          <w:p>
            <w:pPr>
              <w:spacing w:after="0"/>
              <w:rPr>
                <w:sz w:val="20"/>
                <w:szCs w:val="20"/>
                <w:color w:val="auto"/>
              </w:rPr>
            </w:pPr>
            <w:r>
              <w:rPr>
                <w:rFonts w:ascii="Arial" w:cs="Arial" w:eastAsia="Arial" w:hAnsi="Arial"/>
                <w:sz w:val="18"/>
                <w:szCs w:val="18"/>
                <w:i w:val="1"/>
                <w:iCs w:val="1"/>
                <w:color w:val="auto"/>
              </w:rPr>
              <w:t>XBRL Taxonomy Extension Definition Linkbase.</w:t>
            </w:r>
          </w:p>
        </w:tc>
      </w:tr>
      <w:tr>
        <w:trPr>
          <w:trHeight w:val="392"/>
        </w:trPr>
        <w:tc>
          <w:tcPr>
            <w:tcW w:w="136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6"/>
              </w:rPr>
              <w:t>101.LAB *</w:t>
            </w:r>
          </w:p>
        </w:tc>
        <w:tc>
          <w:tcPr>
            <w:tcW w:w="20" w:type="dxa"/>
            <w:vAlign w:val="bottom"/>
          </w:tcPr>
          <w:p>
            <w:pPr>
              <w:spacing w:after="0"/>
              <w:rPr>
                <w:sz w:val="24"/>
                <w:szCs w:val="24"/>
                <w:color w:val="auto"/>
              </w:rPr>
            </w:pPr>
          </w:p>
        </w:tc>
        <w:tc>
          <w:tcPr>
            <w:tcW w:w="9860" w:type="dxa"/>
            <w:vAlign w:val="bottom"/>
            <w:gridSpan w:val="6"/>
          </w:tcPr>
          <w:p>
            <w:pPr>
              <w:spacing w:after="0"/>
              <w:rPr>
                <w:sz w:val="20"/>
                <w:szCs w:val="20"/>
                <w:color w:val="auto"/>
              </w:rPr>
            </w:pPr>
            <w:r>
              <w:rPr>
                <w:rFonts w:ascii="Arial" w:cs="Arial" w:eastAsia="Arial" w:hAnsi="Arial"/>
                <w:sz w:val="18"/>
                <w:szCs w:val="18"/>
                <w:i w:val="1"/>
                <w:iCs w:val="1"/>
                <w:color w:val="auto"/>
              </w:rPr>
              <w:t>XBRL Taxonomy Extension Label Linkbase.</w:t>
            </w:r>
          </w:p>
        </w:tc>
      </w:tr>
      <w:tr>
        <w:trPr>
          <w:trHeight w:val="391"/>
        </w:trPr>
        <w:tc>
          <w:tcPr>
            <w:tcW w:w="136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2"/>
              </w:rPr>
              <w:t>101.PRE *</w:t>
            </w:r>
          </w:p>
        </w:tc>
        <w:tc>
          <w:tcPr>
            <w:tcW w:w="20" w:type="dxa"/>
            <w:vAlign w:val="bottom"/>
          </w:tcPr>
          <w:p>
            <w:pPr>
              <w:spacing w:after="0"/>
              <w:rPr>
                <w:sz w:val="24"/>
                <w:szCs w:val="24"/>
                <w:color w:val="auto"/>
              </w:rPr>
            </w:pPr>
          </w:p>
        </w:tc>
        <w:tc>
          <w:tcPr>
            <w:tcW w:w="9860" w:type="dxa"/>
            <w:vAlign w:val="bottom"/>
            <w:gridSpan w:val="6"/>
          </w:tcPr>
          <w:p>
            <w:pPr>
              <w:spacing w:after="0"/>
              <w:rPr>
                <w:sz w:val="20"/>
                <w:szCs w:val="20"/>
                <w:color w:val="auto"/>
              </w:rPr>
            </w:pPr>
            <w:r>
              <w:rPr>
                <w:rFonts w:ascii="Arial" w:cs="Arial" w:eastAsia="Arial" w:hAnsi="Arial"/>
                <w:sz w:val="18"/>
                <w:szCs w:val="18"/>
                <w:i w:val="1"/>
                <w:iCs w:val="1"/>
                <w:color w:val="auto"/>
              </w:rPr>
              <w:t>XBRL Taxonomy Extension Presentation Linkbase.</w:t>
            </w:r>
          </w:p>
        </w:tc>
      </w:tr>
    </w:tbl>
    <w:p>
      <w:pPr>
        <w:spacing w:after="0" w:line="161" w:lineRule="exact"/>
        <w:rPr>
          <w:sz w:val="20"/>
          <w:szCs w:val="20"/>
          <w:color w:val="auto"/>
        </w:rPr>
      </w:pPr>
    </w:p>
    <w:p>
      <w:pPr>
        <w:ind w:left="820"/>
        <w:spacing w:after="0"/>
        <w:tabs>
          <w:tab w:leader="none" w:pos="1360" w:val="left"/>
        </w:tabs>
        <w:rPr>
          <w:sz w:val="20"/>
          <w:szCs w:val="20"/>
          <w:color w:val="auto"/>
        </w:rPr>
      </w:pPr>
      <w:r>
        <w:rPr>
          <w:rFonts w:ascii="Arial" w:cs="Arial" w:eastAsia="Arial" w:hAnsi="Arial"/>
          <w:sz w:val="18"/>
          <w:szCs w:val="18"/>
          <w:i w:val="1"/>
          <w:iCs w:val="1"/>
          <w:color w:val="auto"/>
        </w:rPr>
        <w:t>104 *</w:t>
      </w:r>
      <w:r>
        <w:rPr>
          <w:sz w:val="20"/>
          <w:szCs w:val="20"/>
          <w:color w:val="auto"/>
        </w:rPr>
        <w:tab/>
      </w:r>
      <w:r>
        <w:rPr>
          <w:rFonts w:ascii="Arial" w:cs="Arial" w:eastAsia="Arial" w:hAnsi="Arial"/>
          <w:sz w:val="16"/>
          <w:szCs w:val="16"/>
          <w:i w:val="1"/>
          <w:iCs w:val="1"/>
          <w:color w:val="auto"/>
        </w:rPr>
        <w:t>Cover Page Interactive Data File (formatted as inline XBRL and contained in Exhibit 101).</w:t>
      </w:r>
    </w:p>
    <w:p>
      <w:pPr>
        <w:spacing w:after="0" w:line="198" w:lineRule="exact"/>
        <w:rPr>
          <w:sz w:val="20"/>
          <w:szCs w:val="20"/>
          <w:color w:val="auto"/>
        </w:rPr>
      </w:pPr>
    </w:p>
    <w:p>
      <w:pPr>
        <w:ind w:left="1380" w:hanging="247"/>
        <w:spacing w:after="0"/>
        <w:tabs>
          <w:tab w:leader="none" w:pos="1380" w:val="left"/>
        </w:tabs>
        <w:numPr>
          <w:ilvl w:val="1"/>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rFonts w:ascii="Arial" w:cs="Arial" w:eastAsia="Arial" w:hAnsi="Arial"/>
          <w:sz w:val="18"/>
          <w:szCs w:val="18"/>
          <w:color w:val="auto"/>
        </w:rPr>
      </w:pPr>
    </w:p>
    <w:p>
      <w:pPr>
        <w:ind w:left="1380" w:hanging="337"/>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sz w:val="20"/>
          <w:szCs w:val="20"/>
          <w:color w:val="auto"/>
        </w:rPr>
      </w:pPr>
    </w:p>
    <w:p>
      <w:pPr>
        <w:ind w:left="1380" w:hanging="258"/>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exhibit is a 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33</w:t>
      </w:r>
    </w:p>
    <w:p>
      <w:pPr>
        <w:sectPr>
          <w:pgSz w:w="11900" w:h="16838" w:orient="portrait"/>
          <w:cols w:equalWidth="0" w:num="1">
            <w:col w:w="11240"/>
          </w:cols>
          <w:pgMar w:left="320" w:top="22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tbl>
      <w:tblPr>
        <w:tblLayout w:type="fixed"/>
        <w:tblInd w:w="474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XPO LOGISTICS, INC.</w:t>
            </w:r>
          </w:p>
        </w:tc>
      </w:tr>
      <w:tr>
        <w:trPr>
          <w:trHeight w:val="486"/>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5540" w:type="dxa"/>
            <w:vAlign w:val="bottom"/>
          </w:tcPr>
          <w:p>
            <w:pPr>
              <w:ind w:left="40"/>
              <w:spacing w:after="0"/>
              <w:rPr>
                <w:sz w:val="20"/>
                <w:szCs w:val="20"/>
                <w:color w:val="auto"/>
              </w:rPr>
            </w:pPr>
            <w:r>
              <w:rPr>
                <w:rFonts w:ascii="Arial" w:cs="Arial" w:eastAsia="Arial" w:hAnsi="Arial"/>
                <w:sz w:val="18"/>
                <w:szCs w:val="18"/>
                <w:color w:val="auto"/>
              </w:rPr>
              <w:t>/s/ Bradley S. Jacobs</w:t>
            </w:r>
          </w:p>
        </w:tc>
      </w:tr>
      <w:tr>
        <w:trPr>
          <w:trHeight w:val="27"/>
        </w:trPr>
        <w:tc>
          <w:tcPr>
            <w:tcW w:w="96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37"/>
        </w:trPr>
        <w:tc>
          <w:tcPr>
            <w:tcW w:w="960" w:type="dxa"/>
            <w:vAlign w:val="bottom"/>
          </w:tcPr>
          <w:p>
            <w:pPr>
              <w:spacing w:after="0"/>
              <w:rPr>
                <w:sz w:val="20"/>
                <w:szCs w:val="20"/>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Bradley S. Jacobs</w:t>
            </w:r>
          </w:p>
        </w:tc>
      </w:tr>
      <w:tr>
        <w:trPr>
          <w:trHeight w:val="270"/>
        </w:trPr>
        <w:tc>
          <w:tcPr>
            <w:tcW w:w="960" w:type="dxa"/>
            <w:vAlign w:val="bottom"/>
          </w:tcPr>
          <w:p>
            <w:pPr>
              <w:spacing w:after="0"/>
              <w:rPr>
                <w:sz w:val="23"/>
                <w:szCs w:val="23"/>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70"/>
        </w:trPr>
        <w:tc>
          <w:tcPr>
            <w:tcW w:w="960" w:type="dxa"/>
            <w:vAlign w:val="bottom"/>
          </w:tcPr>
          <w:p>
            <w:pPr>
              <w:spacing w:after="0"/>
              <w:rPr>
                <w:sz w:val="23"/>
                <w:szCs w:val="23"/>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r>
        <w:trPr>
          <w:trHeight w:val="486"/>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5540" w:type="dxa"/>
            <w:vAlign w:val="bottom"/>
          </w:tcPr>
          <w:p>
            <w:pPr>
              <w:ind w:left="40"/>
              <w:spacing w:after="0"/>
              <w:rPr>
                <w:sz w:val="20"/>
                <w:szCs w:val="20"/>
                <w:color w:val="auto"/>
              </w:rPr>
            </w:pPr>
            <w:r>
              <w:rPr>
                <w:rFonts w:ascii="Arial" w:cs="Arial" w:eastAsia="Arial" w:hAnsi="Arial"/>
                <w:sz w:val="18"/>
                <w:szCs w:val="18"/>
                <w:color w:val="auto"/>
              </w:rPr>
              <w:t>/s/ David B. Wyshner</w:t>
            </w:r>
          </w:p>
        </w:tc>
      </w:tr>
      <w:tr>
        <w:trPr>
          <w:trHeight w:val="27"/>
        </w:trPr>
        <w:tc>
          <w:tcPr>
            <w:tcW w:w="96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37"/>
        </w:trPr>
        <w:tc>
          <w:tcPr>
            <w:tcW w:w="960" w:type="dxa"/>
            <w:vAlign w:val="bottom"/>
          </w:tcPr>
          <w:p>
            <w:pPr>
              <w:spacing w:after="0"/>
              <w:rPr>
                <w:sz w:val="20"/>
                <w:szCs w:val="20"/>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David B. Wyshner</w:t>
            </w:r>
          </w:p>
        </w:tc>
      </w:tr>
      <w:tr>
        <w:trPr>
          <w:trHeight w:val="270"/>
        </w:trPr>
        <w:tc>
          <w:tcPr>
            <w:tcW w:w="960" w:type="dxa"/>
            <w:vAlign w:val="bottom"/>
          </w:tcPr>
          <w:p>
            <w:pPr>
              <w:spacing w:after="0"/>
              <w:rPr>
                <w:sz w:val="23"/>
                <w:szCs w:val="23"/>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0"/>
        </w:trPr>
        <w:tc>
          <w:tcPr>
            <w:tcW w:w="960" w:type="dxa"/>
            <w:vAlign w:val="bottom"/>
          </w:tcPr>
          <w:p>
            <w:pPr>
              <w:spacing w:after="0"/>
              <w:rPr>
                <w:sz w:val="23"/>
                <w:szCs w:val="23"/>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229"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b w:val="1"/>
          <w:bCs w:val="1"/>
          <w:u w:val="single" w:color="auto"/>
          <w:color w:val="auto"/>
        </w:rPr>
        <w:t>Exhibit 10.1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39" w:lineRule="exact"/>
        <w:rPr>
          <w:sz w:val="20"/>
          <w:szCs w:val="20"/>
          <w:color w:val="auto"/>
        </w:rPr>
      </w:pPr>
    </w:p>
    <w:p>
      <w:pPr>
        <w:ind w:right="20" w:firstLine="1296"/>
        <w:spacing w:after="0" w:line="253" w:lineRule="auto"/>
        <w:rPr>
          <w:sz w:val="20"/>
          <w:szCs w:val="20"/>
          <w:color w:val="auto"/>
        </w:rPr>
      </w:pPr>
      <w:r>
        <w:rPr>
          <w:rFonts w:ascii="Arial" w:cs="Arial" w:eastAsia="Arial" w:hAnsi="Arial"/>
          <w:sz w:val="22"/>
          <w:szCs w:val="22"/>
          <w:color w:val="auto"/>
        </w:rPr>
        <w:t>This Employment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effective as of the date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Start Date</w:t>
      </w:r>
      <w:r>
        <w:rPr>
          <w:rFonts w:ascii="Arial" w:cs="Arial" w:eastAsia="Arial" w:hAnsi="Arial"/>
          <w:sz w:val="22"/>
          <w:szCs w:val="22"/>
          <w:color w:val="auto"/>
        </w:rPr>
        <w:t>”), by and between XPO Logistics, Inc., a Delaware corporation (together with its successors and assigns,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the individual named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t>
      </w:r>
      <w:r>
        <w:rPr>
          <w:rFonts w:ascii="Arial" w:cs="Arial" w:eastAsia="Arial" w:hAnsi="Arial"/>
          <w:sz w:val="22"/>
          <w:szCs w:val="22"/>
          <w:u w:val="single" w:color="auto"/>
          <w:color w:val="auto"/>
        </w:rPr>
        <w:t>Employee</w:t>
      </w:r>
      <w:r>
        <w:rPr>
          <w:rFonts w:ascii="Arial" w:cs="Arial" w:eastAsia="Arial" w:hAnsi="Arial"/>
          <w:sz w:val="22"/>
          <w:szCs w:val="22"/>
          <w:color w:val="auto"/>
        </w:rPr>
        <w:t>”).</w:t>
      </w:r>
    </w:p>
    <w:p>
      <w:pPr>
        <w:spacing w:after="0" w:line="200" w:lineRule="exact"/>
        <w:rPr>
          <w:sz w:val="20"/>
          <w:szCs w:val="20"/>
          <w:color w:val="auto"/>
        </w:rPr>
      </w:pPr>
    </w:p>
    <w:p>
      <w:pPr>
        <w:spacing w:after="0" w:line="309"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WHEREAS, the Company desires to employ Employee and Employee desires to accept such employment with the Company, subject to the terms and conditions set forth herein.</w:t>
      </w:r>
    </w:p>
    <w:p>
      <w:pPr>
        <w:spacing w:after="0" w:line="175" w:lineRule="exact"/>
        <w:rPr>
          <w:sz w:val="20"/>
          <w:szCs w:val="20"/>
          <w:color w:val="auto"/>
        </w:rPr>
      </w:pPr>
    </w:p>
    <w:p>
      <w:pPr>
        <w:ind w:right="660" w:firstLine="1296"/>
        <w:spacing w:after="0" w:line="263" w:lineRule="auto"/>
        <w:rPr>
          <w:sz w:val="20"/>
          <w:szCs w:val="20"/>
          <w:color w:val="auto"/>
        </w:rPr>
      </w:pPr>
      <w:r>
        <w:rPr>
          <w:rFonts w:ascii="Arial" w:cs="Arial" w:eastAsia="Arial" w:hAnsi="Arial"/>
          <w:sz w:val="22"/>
          <w:szCs w:val="22"/>
          <w:color w:val="auto"/>
        </w:rPr>
        <w:t>NOW, THEREFORE, in consideration of the premises and mutual covenants herein and for other good and valuable consideration, Employee and the Company agree as follows:</w:t>
      </w:r>
    </w:p>
    <w:p>
      <w:pPr>
        <w:spacing w:after="0" w:line="148" w:lineRule="exact"/>
        <w:rPr>
          <w:sz w:val="20"/>
          <w:szCs w:val="20"/>
          <w:color w:val="auto"/>
        </w:rPr>
      </w:pPr>
    </w:p>
    <w:p>
      <w:pPr>
        <w:ind w:right="340" w:firstLine="1304"/>
        <w:spacing w:after="0" w:line="229" w:lineRule="auto"/>
        <w:tabs>
          <w:tab w:leader="none" w:pos="2160"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xml:space="preserve"> The term of Employee’s employment hereunder (the “</w:t>
      </w:r>
      <w:r>
        <w:rPr>
          <w:rFonts w:ascii="Arial" w:cs="Arial" w:eastAsia="Arial" w:hAnsi="Arial"/>
          <w:sz w:val="21"/>
          <w:szCs w:val="21"/>
          <w:u w:val="single" w:color="auto"/>
          <w:color w:val="auto"/>
        </w:rPr>
        <w:t>Term</w:t>
      </w:r>
      <w:r>
        <w:rPr>
          <w:rFonts w:ascii="Arial" w:cs="Arial" w:eastAsia="Arial" w:hAnsi="Arial"/>
          <w:sz w:val="21"/>
          <w:szCs w:val="21"/>
          <w:color w:val="auto"/>
        </w:rPr>
        <w:t>”) shall begin on the Start Date and end on the fourth anniversary thereof. Notwithstanding the foregoing, the Term may be earlier terminated by either party in accordance with the terms of Section 5 of this Agreement, and the Term shall automatically expire on the last day of the Term (the “</w:t>
      </w:r>
      <w:r>
        <w:rPr>
          <w:rFonts w:ascii="Arial" w:cs="Arial" w:eastAsia="Arial" w:hAnsi="Arial"/>
          <w:sz w:val="21"/>
          <w:szCs w:val="21"/>
          <w:u w:val="single" w:color="auto"/>
          <w:color w:val="auto"/>
        </w:rPr>
        <w:t>Expiration Date</w:t>
      </w:r>
      <w:r>
        <w:rPr>
          <w:rFonts w:ascii="Arial" w:cs="Arial" w:eastAsia="Arial" w:hAnsi="Arial"/>
          <w:sz w:val="21"/>
          <w:szCs w:val="21"/>
          <w:color w:val="auto"/>
        </w:rPr>
        <w:t>”) without notice required by any party to the other.</w:t>
      </w:r>
    </w:p>
    <w:p>
      <w:pPr>
        <w:spacing w:after="0" w:line="185" w:lineRule="exact"/>
        <w:rPr>
          <w:rFonts w:ascii="Arial" w:cs="Arial" w:eastAsia="Arial" w:hAnsi="Arial"/>
          <w:sz w:val="21"/>
          <w:szCs w:val="21"/>
          <w:color w:val="auto"/>
        </w:rPr>
      </w:pPr>
    </w:p>
    <w:p>
      <w:pPr>
        <w:ind w:right="60" w:firstLine="1304"/>
        <w:spacing w:after="0" w:line="287" w:lineRule="auto"/>
        <w:tabs>
          <w:tab w:leader="none" w:pos="1692"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Employment Duties.</w:t>
      </w:r>
      <w:r>
        <w:rPr>
          <w:rFonts w:ascii="Arial" w:cs="Arial" w:eastAsia="Arial" w:hAnsi="Arial"/>
          <w:sz w:val="19"/>
          <w:szCs w:val="19"/>
          <w:color w:val="auto"/>
        </w:rPr>
        <w:t xml:space="preserve"> During the Term, Employee shall serve in the position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such other positions as may be assigned by the Reporting Person (as defined below)), and, excluding any periods of paid time-off or approved sick leave to which Employee is entitled, Employee shall devote his full working time, energy and attention to the performance of his duties and responsibilities hereunder and shall faithfully and diligently endeavor to promote the business and best interests of the Company. Employee shall perform such duties as are customarily performed by an individual in Employee’s position at a public company and as assigned from time to time by the individual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his successor, if he ceases to serve in his current position) or such individual’s designee (the “</w:t>
      </w:r>
      <w:r>
        <w:rPr>
          <w:rFonts w:ascii="Arial" w:cs="Arial" w:eastAsia="Arial" w:hAnsi="Arial"/>
          <w:sz w:val="19"/>
          <w:szCs w:val="19"/>
          <w:u w:val="single" w:color="auto"/>
          <w:color w:val="auto"/>
        </w:rPr>
        <w:t>Reporting Person</w:t>
      </w:r>
      <w:r>
        <w:rPr>
          <w:rFonts w:ascii="Arial" w:cs="Arial" w:eastAsia="Arial" w:hAnsi="Arial"/>
          <w:sz w:val="19"/>
          <w:szCs w:val="19"/>
          <w:color w:val="auto"/>
        </w:rPr>
        <w:t>”), and Employee shall report directly to the Reporting Person. During the Term, Employee may not, without the prior written consent of the Company, directly or indirectly, operate, participate in the management, operations or control of, or act as an employee, officer, consultant, partner, member, agent or representative of, any type of business or service other than as an employee and member of the Company. It shall not, however, be a violation of the foregoing provisions of this Section 2 for Employee to (i) serve as an officer or director or otherwise participate in non-profit, educational, social welfare, religious and civic organizations or (ii) manage his personal, financial and legal affairs, in each case so long as any such activities do not unreasonably interfere with the performance of his duties and responsibilities to the Company.</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ind w:left="1700" w:hanging="396"/>
        <w:spacing w:after="0"/>
        <w:tabs>
          <w:tab w:leader="none" w:pos="1700"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Compensation.</w:t>
      </w:r>
    </w:p>
    <w:p>
      <w:pPr>
        <w:spacing w:after="0" w:line="233" w:lineRule="exact"/>
        <w:rPr>
          <w:sz w:val="20"/>
          <w:szCs w:val="20"/>
          <w:color w:val="auto"/>
        </w:rPr>
      </w:pPr>
    </w:p>
    <w:p>
      <w:pPr>
        <w:ind w:right="20" w:firstLine="1304"/>
        <w:spacing w:after="0" w:line="253" w:lineRule="auto"/>
        <w:tabs>
          <w:tab w:leader="none" w:pos="1752"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xml:space="preserve"> During the Term, the Company shall pay Employee, pursuant to the Company’s normal and customary payroll procedures, but not less frequently than monthly, a base salary at the rate per annum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Base Salary</w:t>
      </w:r>
      <w:r>
        <w:rPr>
          <w:rFonts w:ascii="Arial" w:cs="Arial" w:eastAsia="Arial" w:hAnsi="Arial"/>
          <w:sz w:val="22"/>
          <w:szCs w:val="22"/>
          <w:color w:val="auto"/>
        </w:rPr>
        <w:t>”).</w:t>
      </w:r>
    </w:p>
    <w:p>
      <w:pPr>
        <w:sectPr>
          <w:pgSz w:w="11900" w:h="16838" w:orient="portrait"/>
          <w:cols w:equalWidth="0" w:num="1">
            <w:col w:w="11240"/>
          </w:cols>
          <w:pgMar w:left="320" w:top="612" w:right="339" w:bottom="1440" w:gutter="0" w:footer="0" w:header="0"/>
        </w:sectPr>
      </w:pPr>
    </w:p>
    <w:bookmarkStart w:id="37" w:name="page38"/>
    <w:bookmarkEnd w:id="37"/>
    <w:p>
      <w:pPr>
        <w:ind w:left="-20" w:firstLine="1304"/>
        <w:spacing w:after="0" w:line="288" w:lineRule="auto"/>
        <w:tabs>
          <w:tab w:leader="none" w:pos="1762"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xml:space="preserve"> As additional compensation, Employee shall have the opportunity to earn a performance-based bonus (the “</w:t>
      </w:r>
      <w:r>
        <w:rPr>
          <w:rFonts w:ascii="Arial" w:cs="Arial" w:eastAsia="Arial" w:hAnsi="Arial"/>
          <w:sz w:val="19"/>
          <w:szCs w:val="19"/>
          <w:u w:val="single" w:color="auto"/>
          <w:color w:val="auto"/>
        </w:rPr>
        <w:t>Annual Bonus</w:t>
      </w:r>
      <w:r>
        <w:rPr>
          <w:rFonts w:ascii="Arial" w:cs="Arial" w:eastAsia="Arial" w:hAnsi="Arial"/>
          <w:sz w:val="19"/>
          <w:szCs w:val="19"/>
          <w:color w:val="auto"/>
        </w:rPr>
        <w:t xml:space="preserve">”) for each year during the Term of Employee’s employment commencing in the 2020 fiscal year with a target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Target Bonus</w:t>
      </w:r>
      <w:r>
        <w:rPr>
          <w:rFonts w:ascii="Arial" w:cs="Arial" w:eastAsia="Arial" w:hAnsi="Arial"/>
          <w:sz w:val="19"/>
          <w:szCs w:val="19"/>
          <w:color w:val="auto"/>
        </w:rPr>
        <w:t>”), based upon Employee’s achievement of performance goals that will be determined in the sole discretion of the Company. Employee’s 2020 Annual Bonus will not be prorated for performance year 2020. Notwithstanding anything to the contrary contained herein and without limiting any other rights and remedies of the Company (including as may be required by law), if Employee has engaged in fraud or other willful misconduct that contributes materially to any financial restatements or material loss to the Company or any of its affiliates, the Company may require repayment by Employee of any cash bonus or Annual Bonus (net of any taxes paid by Employee on such payments) previously paid to Employee, or cancel any earned but unpaid cash bonus or Annual Bonus or adjust the future compensation of Employee in order to recover the amount by which any compensation paid to Employee exceeded the lower amount that would have been payable after giving effect to the restated financial results or the material loss. In addition, Employee’s Annual Bonus shall be subject to any other clawback or recoupment policy of the Company as may be in effect from time to time or any clawback or recoupment as may be required by applicable law.</w:t>
      </w:r>
    </w:p>
    <w:p>
      <w:pPr>
        <w:spacing w:after="0" w:line="155" w:lineRule="exact"/>
        <w:rPr>
          <w:rFonts w:ascii="Arial" w:cs="Arial" w:eastAsia="Arial" w:hAnsi="Arial"/>
          <w:sz w:val="19"/>
          <w:szCs w:val="19"/>
          <w:color w:val="auto"/>
        </w:rPr>
      </w:pPr>
    </w:p>
    <w:p>
      <w:pPr>
        <w:ind w:left="-20" w:right="100" w:firstLine="1304"/>
        <w:spacing w:after="0" w:line="259" w:lineRule="auto"/>
        <w:tabs>
          <w:tab w:leader="none" w:pos="175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xml:space="preserve"> During the Term, Employee shall be eligible to participate in the benefit plans and programs of the Company that are generally available to other members of the Company’s senior executive team, subject to the terms and conditions of such plans and programs.</w:t>
      </w:r>
    </w:p>
    <w:p>
      <w:pPr>
        <w:spacing w:after="0" w:line="180" w:lineRule="exact"/>
        <w:rPr>
          <w:rFonts w:ascii="Arial" w:cs="Arial" w:eastAsia="Arial" w:hAnsi="Arial"/>
          <w:sz w:val="22"/>
          <w:szCs w:val="22"/>
          <w:color w:val="auto"/>
        </w:rPr>
      </w:pPr>
    </w:p>
    <w:p>
      <w:pPr>
        <w:ind w:left="-20" w:right="180" w:firstLine="1304"/>
        <w:spacing w:after="0" w:line="254" w:lineRule="auto"/>
        <w:tabs>
          <w:tab w:leader="none" w:pos="1762"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Paid-Time Off.</w:t>
      </w:r>
      <w:r>
        <w:rPr>
          <w:rFonts w:ascii="Arial" w:cs="Arial" w:eastAsia="Arial" w:hAnsi="Arial"/>
          <w:sz w:val="22"/>
          <w:szCs w:val="22"/>
          <w:color w:val="auto"/>
        </w:rPr>
        <w:t xml:space="preserve"> Employee shall be entitled to 15 days paid time off, and any holidays that are generally afforded to the Company’s employees, in each case, per calendar year during the Term, prorated for the portion(s) of any partial calendar year during the Term. Employee may take paid-time off only with the consent of the Reporting Person, which consent shall not be withheld unreasonably.</w:t>
      </w:r>
    </w:p>
    <w:p>
      <w:pPr>
        <w:spacing w:after="0" w:line="184" w:lineRule="exact"/>
        <w:rPr>
          <w:rFonts w:ascii="Arial" w:cs="Arial" w:eastAsia="Arial" w:hAnsi="Arial"/>
          <w:sz w:val="22"/>
          <w:szCs w:val="22"/>
          <w:color w:val="auto"/>
        </w:rPr>
      </w:pPr>
    </w:p>
    <w:p>
      <w:pPr>
        <w:ind w:left="-20" w:right="20" w:firstLine="1304"/>
        <w:spacing w:after="0" w:line="254" w:lineRule="auto"/>
        <w:tabs>
          <w:tab w:leader="none" w:pos="175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The Company shall provide Employee a Company-owned wireless smartphone and Company-owned laptop computer during the Term and shall pay or reimburse Employee for all reasonable and necessary business expenses incurred in the performance of his duties to the Company during the Term upon the presentation of appropriate statements of such expenses.</w:t>
      </w:r>
    </w:p>
    <w:p>
      <w:pPr>
        <w:spacing w:after="0" w:line="184" w:lineRule="exact"/>
        <w:rPr>
          <w:rFonts w:ascii="Arial" w:cs="Arial" w:eastAsia="Arial" w:hAnsi="Arial"/>
          <w:sz w:val="22"/>
          <w:szCs w:val="22"/>
          <w:color w:val="auto"/>
        </w:rPr>
      </w:pPr>
    </w:p>
    <w:p>
      <w:pPr>
        <w:ind w:left="-20" w:right="20" w:firstLine="1304"/>
        <w:spacing w:after="0" w:line="249" w:lineRule="auto"/>
        <w:tabs>
          <w:tab w:leader="none" w:pos="1726"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Work Location; Relocation Benefits</w:t>
      </w:r>
      <w:r>
        <w:rPr>
          <w:rFonts w:ascii="Arial" w:cs="Arial" w:eastAsia="Arial" w:hAnsi="Arial"/>
          <w:sz w:val="22"/>
          <w:szCs w:val="22"/>
          <w:color w:val="auto"/>
        </w:rPr>
        <w:t>. Employee’s initial principal work location will be the Company’s office in Greenwich, Connecticut. Employee is expected to establish a permanent residence in the Greenwich, Connecticut metropolitan area no later than August 3, 2020 and, prior to establishing such residence, Employee agrees to commute to the Greenwich, Connecticut office from his then current permanent residence. In connection with such relocation, the Company will provide benefits pursuant to its relocation benefit policies for senior executives, a summary of which has been made available to Employee.</w:t>
      </w:r>
    </w:p>
    <w:p>
      <w:pPr>
        <w:spacing w:after="0" w:line="194" w:lineRule="exact"/>
        <w:rPr>
          <w:sz w:val="20"/>
          <w:szCs w:val="20"/>
          <w:color w:val="auto"/>
        </w:rPr>
      </w:pPr>
    </w:p>
    <w:p>
      <w:pPr>
        <w:ind w:left="-20" w:right="80" w:firstLine="1304"/>
        <w:spacing w:after="0" w:line="254" w:lineRule="auto"/>
        <w:tabs>
          <w:tab w:leader="none" w:pos="1672"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Equity Compensation</w:t>
      </w:r>
      <w:r>
        <w:rPr>
          <w:rFonts w:ascii="Arial" w:cs="Arial" w:eastAsia="Arial" w:hAnsi="Arial"/>
          <w:sz w:val="22"/>
          <w:szCs w:val="22"/>
          <w:color w:val="auto"/>
        </w:rPr>
        <w:t xml:space="preserve">. As soon as practicable following the Start Date, subject to approval by the Compensation Committee, Employee shall receive (i) a grant of RSUs with a grant date value of $2,000,000, granted pursuant to an award agreement substantially in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and (ii) a grant of performance-based restricted stock units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40" w:top="604" w:right="359" w:bottom="1440" w:gutter="0" w:footer="0" w:header="0"/>
        </w:sectPr>
      </w:pPr>
    </w:p>
    <w:bookmarkStart w:id="38" w:name="page39"/>
    <w:bookmarkEnd w:id="38"/>
    <w:p>
      <w:pPr>
        <w:jc w:val="both"/>
        <w:ind w:right="340"/>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PSUs</w:t>
      </w:r>
      <w:r>
        <w:rPr>
          <w:rFonts w:ascii="Arial" w:cs="Arial" w:eastAsia="Arial" w:hAnsi="Arial"/>
          <w:sz w:val="21"/>
          <w:szCs w:val="21"/>
          <w:color w:val="auto"/>
        </w:rPr>
        <w:t xml:space="preserve">”) of the Company with a grant date value of $2,500,000, granted pursuant to an award agreement substantially in the form attached hereto as </w:t>
      </w:r>
      <w:r>
        <w:rPr>
          <w:rFonts w:ascii="Arial" w:cs="Arial" w:eastAsia="Arial" w:hAnsi="Arial"/>
          <w:sz w:val="21"/>
          <w:szCs w:val="21"/>
          <w:u w:val="single" w:color="auto"/>
          <w:color w:val="auto"/>
        </w:rPr>
        <w:t>Exhibit C</w:t>
      </w:r>
      <w:r>
        <w:rPr>
          <w:rFonts w:ascii="Arial" w:cs="Arial" w:eastAsia="Arial" w:hAnsi="Arial"/>
          <w:sz w:val="21"/>
          <w:szCs w:val="21"/>
          <w:color w:val="auto"/>
        </w:rPr>
        <w:t>. Employee will remain eligible to receive equity-based incentive compensation periodically throughout the Term of this agreement, subject to the sole discretion of the Company.</w:t>
      </w:r>
    </w:p>
    <w:p>
      <w:pPr>
        <w:spacing w:after="0" w:line="167" w:lineRule="exact"/>
        <w:rPr>
          <w:sz w:val="20"/>
          <w:szCs w:val="20"/>
          <w:color w:val="auto"/>
        </w:rPr>
      </w:pPr>
    </w:p>
    <w:p>
      <w:pPr>
        <w:ind w:right="160" w:firstLine="1304"/>
        <w:spacing w:after="0" w:line="301" w:lineRule="auto"/>
        <w:tabs>
          <w:tab w:leader="none" w:pos="1692"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xml:space="preserve"> Employee’s employment hereunder shall be terminated upon the earliest to occur of any one of the following events (in which case the Term shall terminate as of the applicable Date of Termination):</w:t>
      </w:r>
    </w:p>
    <w:p>
      <w:pPr>
        <w:spacing w:after="0" w:line="137" w:lineRule="exact"/>
        <w:rPr>
          <w:sz w:val="20"/>
          <w:szCs w:val="20"/>
          <w:color w:val="auto"/>
        </w:rPr>
      </w:pPr>
    </w:p>
    <w:p>
      <w:pPr>
        <w:ind w:right="240" w:firstLine="1304"/>
        <w:spacing w:after="0" w:line="254" w:lineRule="auto"/>
        <w:tabs>
          <w:tab w:leader="none" w:pos="177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Expiration of Term.</w:t>
      </w:r>
      <w:r>
        <w:rPr>
          <w:rFonts w:ascii="Arial" w:cs="Arial" w:eastAsia="Arial" w:hAnsi="Arial"/>
          <w:sz w:val="22"/>
          <w:szCs w:val="22"/>
          <w:color w:val="auto"/>
        </w:rPr>
        <w:t xml:space="preserve"> Unless sooner terminated, Employee’s employment hereunder shall terminate automatically in accordance with Section 1 of this Agreement on the Expiration Date, unless otherwise agreed by the parties in writing, in which case employment hereunder will continue on an at-will basis or pursuant to the terms of any subsequent agreement between Employee and the Company.</w:t>
      </w:r>
    </w:p>
    <w:p>
      <w:pPr>
        <w:spacing w:after="0" w:line="184" w:lineRule="exact"/>
        <w:rPr>
          <w:rFonts w:ascii="Arial" w:cs="Arial" w:eastAsia="Arial" w:hAnsi="Arial"/>
          <w:sz w:val="22"/>
          <w:szCs w:val="22"/>
          <w:color w:val="auto"/>
        </w:rPr>
      </w:pPr>
    </w:p>
    <w:p>
      <w:pPr>
        <w:ind w:left="1780" w:hanging="476"/>
        <w:spacing w:after="0"/>
        <w:tabs>
          <w:tab w:leader="none" w:pos="178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xml:space="preserve"> Employee’s employment hereunder shall terminate upon his death.</w:t>
      </w:r>
    </w:p>
    <w:p>
      <w:pPr>
        <w:spacing w:after="0" w:line="233" w:lineRule="exact"/>
        <w:rPr>
          <w:rFonts w:ascii="Arial" w:cs="Arial" w:eastAsia="Arial" w:hAnsi="Arial"/>
          <w:sz w:val="22"/>
          <w:szCs w:val="22"/>
          <w:color w:val="auto"/>
        </w:rPr>
      </w:pPr>
    </w:p>
    <w:p>
      <w:pPr>
        <w:ind w:firstLine="1304"/>
        <w:spacing w:after="0" w:line="285" w:lineRule="auto"/>
        <w:tabs>
          <w:tab w:leader="none" w:pos="1770"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xml:space="preserve"> The Company may terminate Employee’s employment hereunder for Cause by written notice at any time. For purposes of this Agreement, the term “</w:t>
      </w:r>
      <w:r>
        <w:rPr>
          <w:rFonts w:ascii="Arial" w:cs="Arial" w:eastAsia="Arial" w:hAnsi="Arial"/>
          <w:sz w:val="19"/>
          <w:szCs w:val="19"/>
          <w:u w:val="single" w:color="auto"/>
          <w:color w:val="auto"/>
        </w:rPr>
        <w:t>Cause</w:t>
      </w:r>
      <w:r>
        <w:rPr>
          <w:rFonts w:ascii="Arial" w:cs="Arial" w:eastAsia="Arial" w:hAnsi="Arial"/>
          <w:sz w:val="19"/>
          <w:szCs w:val="19"/>
          <w:color w:val="auto"/>
        </w:rPr>
        <w:t>” shall mean Employee’s (i) gross negligence or willful failure to perform his duties hereunder or willful refusal to follow any lawful directive of the Company; (ii) abuse of or dependency on alcohol or drugs (illicit or otherwise) that adversely affects Employee’s performance of duties hereunder; (iii) commission of any fraud, embezzlement, theft or dishonesty, or any deliberate misappropriation of money or other assets of the Company; (iv) breach of any term of this Agreement, including, without limitation, by virtue of failing to provide at least 30 days’ advanced written notice of resignation as required by Section 5(f), or any agreement governing any of the long-term incentive compensation or equity compensation awards granted to Employee by the Company, its affiliates or any of their respective predecessors (the “</w:t>
      </w:r>
      <w:r>
        <w:rPr>
          <w:rFonts w:ascii="Arial" w:cs="Arial" w:eastAsia="Arial" w:hAnsi="Arial"/>
          <w:sz w:val="19"/>
          <w:szCs w:val="19"/>
          <w:u w:val="single" w:color="auto"/>
          <w:color w:val="auto"/>
        </w:rPr>
        <w:t>Equity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Compensation</w:t>
      </w:r>
      <w:r>
        <w:rPr>
          <w:rFonts w:ascii="Arial" w:cs="Arial" w:eastAsia="Arial" w:hAnsi="Arial"/>
          <w:sz w:val="19"/>
          <w:szCs w:val="19"/>
          <w:color w:val="auto"/>
        </w:rPr>
        <w:t>”), or breach of his fiduciary duties to the Company; (v) any willful act, or failure to act, in bad faith to the detriment of the Company; (vi) willful failure to cooperate in good faith with a governmental or internal investigation of the Company or any of its directors, managers, officers or employees, if the Company requests his cooperation; (vii) failure to follow the Company’s code of conduct or ethics policy; and (viii) conviction of, or plea of nolo contendere to, a felony or any serious crime; provided that, the Company will provide Employee with written notice describing the facts and circumstances that the Company believes constitutes Cause and, in cases where cure is possible, Employee shall first be provided a 15-day cure period. If, subsequent to Employee’s termination of employment hereunder for any reason other than by the Company for Cause, it is determined in good faith by the Reporting Person that Employee’s employment could have been terminated by the Company for Cause pursuant to this Section 5(c), Employee’s employment shall, at the election of the Reporting Person at any time up to two years after Employee’s termination of employment but in no event more than six months after the Reporting Person learns of the facts or events that could give rise to the termination for Cause, be deemed to have been terminated for Cause retroactively to the date the events giving rise to Cause occurred, provided that the Company’s ability to deem an Employee’s employment under this sentence to be terminated for Cause shall lapse upon a Change of Control (as defined in the Company’s 2016 Omnibus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604" w:right="359" w:bottom="1440" w:gutter="0" w:footer="0" w:header="0"/>
        </w:sectPr>
      </w:pPr>
    </w:p>
    <w:bookmarkStart w:id="39" w:name="page40"/>
    <w:bookmarkEnd w:id="39"/>
    <w:p>
      <w:pPr>
        <w:ind w:left="1780" w:hanging="476"/>
        <w:spacing w:after="0"/>
        <w:tabs>
          <w:tab w:leader="none" w:pos="178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Without Cause.</w:t>
      </w:r>
      <w:r>
        <w:rPr>
          <w:rFonts w:ascii="Arial" w:cs="Arial" w:eastAsia="Arial" w:hAnsi="Arial"/>
          <w:sz w:val="19"/>
          <w:szCs w:val="19"/>
          <w:color w:val="auto"/>
        </w:rPr>
        <w:t xml:space="preserve"> The Company may terminate Employee’s employment hereunder without Cause by written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notice at any time.</w:t>
      </w:r>
    </w:p>
    <w:p>
      <w:pPr>
        <w:spacing w:after="0" w:line="215" w:lineRule="exact"/>
        <w:rPr>
          <w:rFonts w:ascii="Arial" w:cs="Arial" w:eastAsia="Arial" w:hAnsi="Arial"/>
          <w:sz w:val="19"/>
          <w:szCs w:val="19"/>
          <w:color w:val="auto"/>
        </w:rPr>
      </w:pPr>
    </w:p>
    <w:p>
      <w:pPr>
        <w:ind w:right="20" w:firstLine="1304"/>
        <w:spacing w:after="0" w:line="287" w:lineRule="auto"/>
        <w:tabs>
          <w:tab w:leader="none" w:pos="177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xml:space="preserve"> Upon or during the two-year period following a Change of Control, Employee may terminate his employment hereunder for Good Reason in accordance with the terms of this Section 5(e). For purposes of this Agreement, “</w:t>
      </w:r>
      <w:r>
        <w:rPr>
          <w:rFonts w:ascii="Arial" w:cs="Arial" w:eastAsia="Arial" w:hAnsi="Arial"/>
          <w:sz w:val="19"/>
          <w:szCs w:val="19"/>
          <w:u w:val="single" w:color="auto"/>
          <w:color w:val="auto"/>
        </w:rPr>
        <w:t>Good Reason</w:t>
      </w:r>
      <w:r>
        <w:rPr>
          <w:rFonts w:ascii="Arial" w:cs="Arial" w:eastAsia="Arial" w:hAnsi="Arial"/>
          <w:sz w:val="19"/>
          <w:szCs w:val="19"/>
          <w:color w:val="auto"/>
        </w:rPr>
        <w:t xml:space="preserve">” shall mean, without first obtaining Employee’s written consent: (i) the Company materially breaches the terms of this Agreement; (ii) the Company materially diminishes Employee’s title, duties, authorities, reporting relationship(s), responsibilities or position from any of those in effect immediately preceding the Change of Control (including by virtue of Employee not having duties of a senior executive of a publicly-traded company) or as subsequently increased or enhanced; (iii) the Company reduces the Base Salary or Target Bonus; or (iv) the Company requires that Employee be based in a location that is more than 50 miles from the location of Employee’s employment immediately prior to a Change of Control;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first be provided a 30-day cure period (the “</w:t>
      </w:r>
      <w:r>
        <w:rPr>
          <w:rFonts w:ascii="Arial" w:cs="Arial" w:eastAsia="Arial" w:hAnsi="Arial"/>
          <w:sz w:val="19"/>
          <w:szCs w:val="19"/>
          <w:u w:val="single" w:color="auto"/>
          <w:color w:val="auto"/>
        </w:rPr>
        <w:t>Cure Period</w:t>
      </w:r>
      <w:r>
        <w:rPr>
          <w:rFonts w:ascii="Arial" w:cs="Arial" w:eastAsia="Arial" w:hAnsi="Arial"/>
          <w:sz w:val="19"/>
          <w:szCs w:val="19"/>
          <w:color w:val="auto"/>
        </w:rPr>
        <w:t xml:space="preserve">”), following receipt of written notice setting forth in reasonable detail the specific event, circumstance or conduct of the Company that constitutes Good Reason, to cease, and to cure, any event, circumstance or conduct specified in such written notice, if curable;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such notice shall be provided to the Company within 45 days of the occurrence of the event, circumstance or conduct constituting Good Reason. If, at the end of the Cure Period, the event, circumstance or conduct that constitutes Good Reason has not been remedied, Employee will be entitled to terminate employment for Good Reason during the 30-day period that follows the end of the Cure Period. If Employee does not terminate employment during such 30-day period, Employee will not be permitted to terminate employment for Good Reason as a result of such event, circumstance or conduct.</w:t>
      </w:r>
    </w:p>
    <w:p>
      <w:pPr>
        <w:spacing w:after="0" w:line="166" w:lineRule="exact"/>
        <w:rPr>
          <w:rFonts w:ascii="Arial" w:cs="Arial" w:eastAsia="Arial" w:hAnsi="Arial"/>
          <w:sz w:val="19"/>
          <w:szCs w:val="19"/>
          <w:color w:val="auto"/>
        </w:rPr>
      </w:pPr>
    </w:p>
    <w:p>
      <w:pPr>
        <w:ind w:right="80" w:firstLine="1304"/>
        <w:spacing w:after="0" w:line="276" w:lineRule="auto"/>
        <w:tabs>
          <w:tab w:leader="none" w:pos="1746"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Resignation.</w:t>
      </w:r>
      <w:r>
        <w:rPr>
          <w:rFonts w:ascii="Arial" w:cs="Arial" w:eastAsia="Arial" w:hAnsi="Arial"/>
          <w:sz w:val="22"/>
          <w:szCs w:val="22"/>
          <w:color w:val="auto"/>
        </w:rPr>
        <w:t xml:space="preserve"> Employee may terminate his employment hereunder at any time upon at least 30 days’ advance written notice to the Company.</w:t>
      </w:r>
    </w:p>
    <w:p>
      <w:pPr>
        <w:spacing w:after="0" w:line="160" w:lineRule="exact"/>
        <w:rPr>
          <w:rFonts w:ascii="Arial" w:cs="Arial" w:eastAsia="Arial" w:hAnsi="Arial"/>
          <w:sz w:val="22"/>
          <w:szCs w:val="22"/>
          <w:color w:val="auto"/>
        </w:rPr>
      </w:pPr>
    </w:p>
    <w:p>
      <w:pPr>
        <w:ind w:right="260" w:firstLine="1304"/>
        <w:spacing w:after="0" w:line="300" w:lineRule="auto"/>
        <w:tabs>
          <w:tab w:leader="none" w:pos="1782"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Employee’s employment hereunder shall terminate in the event of Employee’s Disability. For purposes of this Agreement, “</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the inability of Employee, due to illness, accident or any other physical or mental incapacity, to perform Employee’s duties for the Company for an aggregate of 180 days within any period of 12 consecutive months, which inability is determined to be total and permanent by a board-certified physician selected by the Company, and the determination of such physician shall be binding upon Employee and the Company.</w:t>
      </w:r>
    </w:p>
    <w:p>
      <w:pPr>
        <w:spacing w:after="0" w:line="146" w:lineRule="exact"/>
        <w:rPr>
          <w:rFonts w:ascii="Arial" w:cs="Arial" w:eastAsia="Arial" w:hAnsi="Arial"/>
          <w:sz w:val="19"/>
          <w:szCs w:val="19"/>
          <w:color w:val="auto"/>
        </w:rPr>
      </w:pPr>
    </w:p>
    <w:p>
      <w:pPr>
        <w:ind w:firstLine="1304"/>
        <w:spacing w:after="0" w:line="251" w:lineRule="auto"/>
        <w:tabs>
          <w:tab w:leader="none" w:pos="1782" w:val="left"/>
        </w:tabs>
        <w:numPr>
          <w:ilvl w:val="0"/>
          <w:numId w:val="1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Date of Termination</w:t>
      </w:r>
      <w:r>
        <w:rPr>
          <w:rFonts w:ascii="Arial" w:cs="Arial" w:eastAsia="Arial" w:hAnsi="Arial"/>
          <w:sz w:val="21"/>
          <w:szCs w:val="21"/>
          <w:color w:val="auto"/>
        </w:rPr>
        <w:t>” shall mean: (i) the scheduled expiration of the Term in the event of termination of Employee’s employment pursuant to Section 5(a) of this Agreement; (ii) the date of Employee’s death in the event of termination of Employee’s employment pursuant to Section 5(b) of this Agreement; (iii) the date of the Company’s delivery of a notice of termination to Employee or such later date as specified in such notice in the event of termination by the Company pursuant to Section 5(c) or 5(d) of this Agreement; (iv) the 30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following delivery of Employee’s notice to the Company of his resignation in accordance with Section 5(f) (or such earlier date as selected by the Company); (v) the date specified in accordance with Section 5(e) in the event of Employee’s resignation for Good Reason upon or during the two years following a Change of Control; and (vi) the date of a determination 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604" w:right="359" w:bottom="1440" w:gutter="0" w:footer="0" w:header="0"/>
        </w:sectPr>
      </w:pPr>
    </w:p>
    <w:bookmarkStart w:id="40" w:name="page41"/>
    <w:bookmarkEnd w:id="40"/>
    <w:p>
      <w:pPr>
        <w:spacing w:after="0"/>
        <w:rPr>
          <w:sz w:val="20"/>
          <w:szCs w:val="20"/>
          <w:color w:val="auto"/>
        </w:rPr>
      </w:pPr>
      <w:r>
        <w:rPr>
          <w:rFonts w:ascii="Arial" w:cs="Arial" w:eastAsia="Arial" w:hAnsi="Arial"/>
          <w:sz w:val="19"/>
          <w:szCs w:val="19"/>
          <w:color w:val="auto"/>
        </w:rPr>
        <w:t>Employee’s Disability in the event of a termination of Employee’s employment pursuant to Section 5(g) of this Agreement.</w:t>
      </w:r>
    </w:p>
    <w:p>
      <w:pPr>
        <w:spacing w:after="0" w:line="254" w:lineRule="exact"/>
        <w:rPr>
          <w:sz w:val="20"/>
          <w:szCs w:val="20"/>
          <w:color w:val="auto"/>
        </w:rPr>
      </w:pPr>
    </w:p>
    <w:p>
      <w:pPr>
        <w:ind w:right="200" w:firstLine="1304"/>
        <w:spacing w:after="0" w:line="288" w:lineRule="auto"/>
        <w:tabs>
          <w:tab w:leader="none" w:pos="1692"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Termination Payments.</w:t>
      </w:r>
      <w:r>
        <w:rPr>
          <w:rFonts w:ascii="Arial" w:cs="Arial" w:eastAsia="Arial" w:hAnsi="Arial"/>
          <w:sz w:val="19"/>
          <w:szCs w:val="19"/>
          <w:color w:val="auto"/>
        </w:rPr>
        <w:t xml:space="preserve"> (a) </w:t>
      </w: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Except as otherwise set forth in this Section 6, following any termination of Employee’s employment hereunder, the obligations of the Company to pay or provide Employee with compensation and benefits under Section 3 of this Agreement shall cease, and the Company shall have no further obligations to provide compensation or benefits to Employee hereunder except for payment of (i) any unpaid Base Salary accrued through the Date of Termination; (ii) to the extent required by law, any unused vacation accrued through the Date of Termination, and</w:t>
      </w:r>
    </w:p>
    <w:p>
      <w:pPr>
        <w:spacing w:after="0" w:line="3" w:lineRule="exact"/>
        <w:rPr>
          <w:rFonts w:ascii="Arial" w:cs="Arial" w:eastAsia="Arial" w:hAnsi="Arial"/>
          <w:sz w:val="19"/>
          <w:szCs w:val="19"/>
          <w:color w:val="auto"/>
        </w:rPr>
      </w:pPr>
    </w:p>
    <w:p>
      <w:pPr>
        <w:ind w:right="40" w:firstLine="8"/>
        <w:spacing w:after="0" w:line="288" w:lineRule="auto"/>
        <w:tabs>
          <w:tab w:leader="none" w:pos="378" w:val="left"/>
        </w:tabs>
        <w:numPr>
          <w:ilvl w:val="0"/>
          <w:numId w:val="19"/>
        </w:numPr>
        <w:rPr>
          <w:rFonts w:ascii="Arial" w:cs="Arial" w:eastAsia="Arial" w:hAnsi="Arial"/>
          <w:sz w:val="19"/>
          <w:szCs w:val="19"/>
          <w:color w:val="auto"/>
        </w:rPr>
      </w:pPr>
      <w:r>
        <w:rPr>
          <w:rFonts w:ascii="Arial" w:cs="Arial" w:eastAsia="Arial" w:hAnsi="Arial"/>
          <w:sz w:val="19"/>
          <w:szCs w:val="19"/>
          <w:color w:val="auto"/>
        </w:rPr>
        <w:t>any unpaid or unreimbursed obligations and expenses under Section 3(e) of this Agreement accrued or incurred through the Date of Termination (collectively items 6(a)(i) through 6(a)(iii) above, the “</w:t>
      </w:r>
      <w:r>
        <w:rPr>
          <w:rFonts w:ascii="Arial" w:cs="Arial" w:eastAsia="Arial" w:hAnsi="Arial"/>
          <w:sz w:val="19"/>
          <w:szCs w:val="19"/>
          <w:u w:val="single" w:color="auto"/>
          <w:color w:val="auto"/>
        </w:rPr>
        <w:t>Accrued Benefits</w:t>
      </w:r>
      <w:r>
        <w:rPr>
          <w:rFonts w:ascii="Arial" w:cs="Arial" w:eastAsia="Arial" w:hAnsi="Arial"/>
          <w:sz w:val="19"/>
          <w:szCs w:val="19"/>
          <w:color w:val="auto"/>
        </w:rPr>
        <w:t>”). The payments referred to in Sections 6(a)(i) and 6(a)(ii) of this Agreement shall be paid within 30 days following the Date of Termination, subject to compliance with Section 409A of the Internal Revenue Code of 1986, as amended (“</w:t>
      </w:r>
      <w:r>
        <w:rPr>
          <w:rFonts w:ascii="Arial" w:cs="Arial" w:eastAsia="Arial" w:hAnsi="Arial"/>
          <w:sz w:val="19"/>
          <w:szCs w:val="19"/>
          <w:u w:val="single" w:color="auto"/>
          <w:color w:val="auto"/>
        </w:rPr>
        <w:t>Section 409A</w:t>
      </w:r>
      <w:r>
        <w:rPr>
          <w:rFonts w:ascii="Arial" w:cs="Arial" w:eastAsia="Arial" w:hAnsi="Arial"/>
          <w:sz w:val="19"/>
          <w:szCs w:val="19"/>
          <w:color w:val="auto"/>
        </w:rPr>
        <w:t>”). The payments referred to in Section 6(a)(iii) of this Agreement shall be paid at the times such amounts would otherwise be paid had Employee’s services hereunder not terminated. The payments and benefits to be provided to Employee under Sections 6(c) and 6(d) of this Agreement, if any, shall in all events be subject to the satisfaction of the conditions of Section 6(e) of this Agreement.</w:t>
      </w:r>
    </w:p>
    <w:p>
      <w:pPr>
        <w:spacing w:after="0" w:line="158" w:lineRule="exact"/>
        <w:rPr>
          <w:sz w:val="20"/>
          <w:szCs w:val="20"/>
          <w:color w:val="auto"/>
        </w:rPr>
      </w:pPr>
    </w:p>
    <w:p>
      <w:pPr>
        <w:ind w:right="140" w:firstLine="1304"/>
        <w:spacing w:after="0" w:line="254" w:lineRule="auto"/>
        <w:tabs>
          <w:tab w:leader="none" w:pos="1782"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Automatic Expiration of the Term, Resignation, Cause, or Disability.</w:t>
      </w:r>
      <w:r>
        <w:rPr>
          <w:rFonts w:ascii="Arial" w:cs="Arial" w:eastAsia="Arial" w:hAnsi="Arial"/>
          <w:sz w:val="22"/>
          <w:szCs w:val="22"/>
          <w:color w:val="auto"/>
        </w:rPr>
        <w:t xml:space="preserve"> If Employee’s employment is terminated pursuant to Section 5(a), 5(c), 5(f) or 5(g) of this Agreement (excluding, for the avoidance of doubt, a resignation for Good Reason upon or within two years following a Change of Control as described in Section 6(d)), the Company shall have no obligation to Employee other than with respect to the Accrued Benefits.</w:t>
      </w:r>
    </w:p>
    <w:p>
      <w:pPr>
        <w:spacing w:after="0" w:line="184" w:lineRule="exact"/>
        <w:rPr>
          <w:rFonts w:ascii="Arial" w:cs="Arial" w:eastAsia="Arial" w:hAnsi="Arial"/>
          <w:sz w:val="22"/>
          <w:szCs w:val="22"/>
          <w:color w:val="auto"/>
        </w:rPr>
      </w:pPr>
    </w:p>
    <w:p>
      <w:pPr>
        <w:ind w:firstLine="1304"/>
        <w:spacing w:after="0" w:line="259" w:lineRule="auto"/>
        <w:tabs>
          <w:tab w:leader="none" w:pos="177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Death, Without Cause.</w:t>
      </w:r>
      <w:r>
        <w:rPr>
          <w:rFonts w:ascii="Arial" w:cs="Arial" w:eastAsia="Arial" w:hAnsi="Arial"/>
          <w:sz w:val="22"/>
          <w:szCs w:val="22"/>
          <w:color w:val="auto"/>
        </w:rPr>
        <w:t xml:space="preserve"> In the event of a termination by reason of Employee’s death or in the event that, either prior to a Change of Control or more than two years following a Change of Control, the Company terminates Employee’s employment hereunder without Cause, Employee (or his estate) shall be entitled to:</w:t>
      </w:r>
    </w:p>
    <w:p>
      <w:pPr>
        <w:spacing w:after="0" w:line="180" w:lineRule="exact"/>
        <w:rPr>
          <w:sz w:val="20"/>
          <w:szCs w:val="20"/>
          <w:color w:val="auto"/>
        </w:rPr>
      </w:pPr>
    </w:p>
    <w:p>
      <w:pPr>
        <w:ind w:left="1740" w:hanging="436"/>
        <w:spacing w:after="0"/>
        <w:tabs>
          <w:tab w:leader="none" w:pos="17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Accrued Benefits;</w:t>
      </w:r>
    </w:p>
    <w:p>
      <w:pPr>
        <w:spacing w:after="0" w:line="233" w:lineRule="exact"/>
        <w:rPr>
          <w:rFonts w:ascii="Arial" w:cs="Arial" w:eastAsia="Arial" w:hAnsi="Arial"/>
          <w:sz w:val="22"/>
          <w:szCs w:val="22"/>
          <w:color w:val="auto"/>
        </w:rPr>
      </w:pPr>
    </w:p>
    <w:p>
      <w:pPr>
        <w:ind w:left="660" w:right="100" w:firstLine="644"/>
        <w:spacing w:after="0" w:line="260" w:lineRule="auto"/>
        <w:tabs>
          <w:tab w:leader="none" w:pos="1806" w:val="left"/>
        </w:tabs>
        <w:numPr>
          <w:ilvl w:val="0"/>
          <w:numId w:val="21"/>
        </w:numPr>
        <w:rPr>
          <w:rFonts w:ascii="Arial" w:cs="Arial" w:eastAsia="Arial" w:hAnsi="Arial"/>
          <w:sz w:val="21"/>
          <w:szCs w:val="21"/>
          <w:color w:val="auto"/>
        </w:rPr>
      </w:pPr>
      <w:r>
        <w:rPr>
          <w:rFonts w:ascii="Arial" w:cs="Arial" w:eastAsia="Arial" w:hAnsi="Arial"/>
          <w:sz w:val="21"/>
          <w:szCs w:val="21"/>
          <w:color w:val="auto"/>
        </w:rPr>
        <w:t>solely in the case of a termination by the Company without Cause, a cash payment (the “</w:t>
      </w:r>
      <w:r>
        <w:rPr>
          <w:rFonts w:ascii="Arial" w:cs="Arial" w:eastAsia="Arial" w:hAnsi="Arial"/>
          <w:sz w:val="21"/>
          <w:szCs w:val="21"/>
          <w:u w:val="single" w:color="auto"/>
          <w:color w:val="auto"/>
        </w:rPr>
        <w:t>Severance</w:t>
      </w:r>
      <w:r>
        <w:rPr>
          <w:rFonts w:ascii="Arial" w:cs="Arial" w:eastAsia="Arial" w:hAnsi="Arial"/>
          <w:sz w:val="21"/>
          <w:szCs w:val="21"/>
          <w:color w:val="auto"/>
        </w:rPr>
        <w:t xml:space="preserve"> </w:t>
      </w:r>
      <w:r>
        <w:rPr>
          <w:rFonts w:ascii="Arial" w:cs="Arial" w:eastAsia="Arial" w:hAnsi="Arial"/>
          <w:sz w:val="21"/>
          <w:szCs w:val="21"/>
          <w:u w:val="single" w:color="auto"/>
          <w:color w:val="auto"/>
        </w:rPr>
        <w:t>Payment</w:t>
      </w:r>
      <w:r>
        <w:rPr>
          <w:rFonts w:ascii="Arial" w:cs="Arial" w:eastAsia="Arial" w:hAnsi="Arial"/>
          <w:sz w:val="21"/>
          <w:szCs w:val="21"/>
          <w:color w:val="auto"/>
        </w:rPr>
        <w:t>”) equal to six months’ Base Salary, as in effect on the Date of Termination (payable subject to the terms of Section 6(e) of this Agreement), plus any Annual Bonus that the Company has notified Employee in writing that Employee has earned prior to the Date of Termination but is unpaid as of the Date of Termination, and, except in the case of a termination by reason of Employee’s death, medical and dental coverage for a period of six months from the Date of Termination; provided that (x) any monies Employee earns from any other work, whether as an employee or as an independent contractor, while Employee is receiving any Severance Payments shall reduce, on a dollar-for-dollar basis, the amount that the Company is obligated to pay Employee under this Section 6(c)(ii) and (y) if Employee secures other employment, any medical or dental benefits provided under this Section 6(c)(ii) shall cease as of the commencement of such employment; and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604" w:right="339" w:bottom="1440" w:gutter="0" w:footer="0" w:header="0"/>
        </w:sectPr>
      </w:pPr>
    </w:p>
    <w:bookmarkStart w:id="41" w:name="page42"/>
    <w:bookmarkEnd w:id="41"/>
    <w:p>
      <w:pPr>
        <w:ind w:left="640" w:right="280" w:firstLine="644"/>
        <w:spacing w:after="0" w:line="276" w:lineRule="auto"/>
        <w:tabs>
          <w:tab w:leader="none" w:pos="1846" w:val="left"/>
        </w:tabs>
        <w:numPr>
          <w:ilvl w:val="0"/>
          <w:numId w:val="22"/>
        </w:numPr>
        <w:rPr>
          <w:rFonts w:ascii="Arial" w:cs="Arial" w:eastAsia="Arial" w:hAnsi="Arial"/>
          <w:sz w:val="22"/>
          <w:szCs w:val="22"/>
          <w:color w:val="auto"/>
        </w:rPr>
      </w:pPr>
      <w:r>
        <w:rPr>
          <w:rFonts w:ascii="Arial" w:cs="Arial" w:eastAsia="Arial" w:hAnsi="Arial"/>
          <w:sz w:val="22"/>
          <w:szCs w:val="22"/>
          <w:color w:val="auto"/>
        </w:rPr>
        <w:t>vesting of equity based or other long-term incentive compensation awards solely to the extent set forth in the applicable award agreement.</w:t>
      </w:r>
    </w:p>
    <w:p>
      <w:pPr>
        <w:spacing w:after="0" w:line="161" w:lineRule="exact"/>
        <w:rPr>
          <w:sz w:val="20"/>
          <w:szCs w:val="20"/>
          <w:color w:val="auto"/>
        </w:rPr>
      </w:pPr>
    </w:p>
    <w:p>
      <w:pPr>
        <w:ind w:left="-20" w:right="240" w:firstLine="1304"/>
        <w:spacing w:after="0" w:line="259" w:lineRule="auto"/>
        <w:tabs>
          <w:tab w:leader="none" w:pos="1762"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Without Cause or for Good Reason Following a Change of Control</w:t>
      </w:r>
      <w:r>
        <w:rPr>
          <w:rFonts w:ascii="Arial" w:cs="Arial" w:eastAsia="Arial" w:hAnsi="Arial"/>
          <w:sz w:val="22"/>
          <w:szCs w:val="22"/>
          <w:color w:val="auto"/>
        </w:rPr>
        <w:t>. In the event that, upon or within two years following a Change of Control, the Company terminates Employee’s employment hereunder without Cause or Employee resigns for Good Reason, Employee shall be entitled to:</w:t>
      </w:r>
    </w:p>
    <w:p>
      <w:pPr>
        <w:spacing w:after="0" w:line="180" w:lineRule="exact"/>
        <w:rPr>
          <w:sz w:val="20"/>
          <w:szCs w:val="20"/>
          <w:color w:val="auto"/>
        </w:rPr>
      </w:pPr>
    </w:p>
    <w:p>
      <w:pPr>
        <w:ind w:left="1720" w:hanging="436"/>
        <w:spacing w:after="0"/>
        <w:tabs>
          <w:tab w:leader="none" w:pos="17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Accrued Benefits;</w:t>
      </w:r>
    </w:p>
    <w:p>
      <w:pPr>
        <w:spacing w:after="0" w:line="233" w:lineRule="exact"/>
        <w:rPr>
          <w:rFonts w:ascii="Arial" w:cs="Arial" w:eastAsia="Arial" w:hAnsi="Arial"/>
          <w:sz w:val="22"/>
          <w:szCs w:val="22"/>
          <w:color w:val="auto"/>
        </w:rPr>
      </w:pPr>
    </w:p>
    <w:p>
      <w:pPr>
        <w:ind w:left="640" w:right="200" w:firstLine="644"/>
        <w:spacing w:after="0" w:line="276" w:lineRule="auto"/>
        <w:tabs>
          <w:tab w:leader="none" w:pos="1786" w:val="left"/>
        </w:tabs>
        <w:numPr>
          <w:ilvl w:val="0"/>
          <w:numId w:val="24"/>
        </w:numPr>
        <w:rPr>
          <w:rFonts w:ascii="Arial" w:cs="Arial" w:eastAsia="Arial" w:hAnsi="Arial"/>
          <w:sz w:val="22"/>
          <w:szCs w:val="22"/>
          <w:color w:val="auto"/>
        </w:rPr>
      </w:pPr>
      <w:r>
        <w:rPr>
          <w:rFonts w:ascii="Arial" w:cs="Arial" w:eastAsia="Arial" w:hAnsi="Arial"/>
          <w:sz w:val="22"/>
          <w:szCs w:val="22"/>
          <w:color w:val="auto"/>
        </w:rPr>
        <w:t>a cash payment (the “</w:t>
      </w:r>
      <w:r>
        <w:rPr>
          <w:rFonts w:ascii="Arial" w:cs="Arial" w:eastAsia="Arial" w:hAnsi="Arial"/>
          <w:sz w:val="22"/>
          <w:szCs w:val="22"/>
          <w:u w:val="single" w:color="auto"/>
          <w:color w:val="auto"/>
        </w:rPr>
        <w:t>CIC Severance Payment</w:t>
      </w:r>
      <w:r>
        <w:rPr>
          <w:rFonts w:ascii="Arial" w:cs="Arial" w:eastAsia="Arial" w:hAnsi="Arial"/>
          <w:sz w:val="22"/>
          <w:szCs w:val="22"/>
          <w:color w:val="auto"/>
        </w:rPr>
        <w:t>”) equal to two times the sum of (A) the Base Salary and (B) the Target Bonus;</w:t>
      </w:r>
    </w:p>
    <w:p>
      <w:pPr>
        <w:spacing w:after="0" w:line="160" w:lineRule="exact"/>
        <w:rPr>
          <w:rFonts w:ascii="Arial" w:cs="Arial" w:eastAsia="Arial" w:hAnsi="Arial"/>
          <w:sz w:val="22"/>
          <w:szCs w:val="22"/>
          <w:color w:val="auto"/>
        </w:rPr>
      </w:pPr>
    </w:p>
    <w:p>
      <w:pPr>
        <w:jc w:val="both"/>
        <w:ind w:left="640" w:right="100" w:firstLine="644"/>
        <w:spacing w:after="0" w:line="254" w:lineRule="auto"/>
        <w:tabs>
          <w:tab w:leader="none" w:pos="1846" w:val="left"/>
        </w:tabs>
        <w:numPr>
          <w:ilvl w:val="0"/>
          <w:numId w:val="24"/>
        </w:numPr>
        <w:rPr>
          <w:rFonts w:ascii="Arial" w:cs="Arial" w:eastAsia="Arial" w:hAnsi="Arial"/>
          <w:sz w:val="22"/>
          <w:szCs w:val="22"/>
          <w:color w:val="auto"/>
        </w:rPr>
      </w:pPr>
      <w:r>
        <w:rPr>
          <w:rFonts w:ascii="Arial" w:cs="Arial" w:eastAsia="Arial" w:hAnsi="Arial"/>
          <w:sz w:val="22"/>
          <w:szCs w:val="22"/>
          <w:color w:val="auto"/>
        </w:rPr>
        <w:t>a cash payment equal to the product of (A) the Target Bonus and (B) a fraction, the numerator of which is the number of days from January 1 in the year in which the Date of Termination occurs (or the Start Date, if the Date of Termination occurs in 2020) through the Date of Termination and the denominator of which is 365 (or 366, if the Date of Termination occurs in 2020);</w:t>
      </w:r>
    </w:p>
    <w:p>
      <w:pPr>
        <w:spacing w:after="0" w:line="184" w:lineRule="exact"/>
        <w:rPr>
          <w:rFonts w:ascii="Arial" w:cs="Arial" w:eastAsia="Arial" w:hAnsi="Arial"/>
          <w:sz w:val="22"/>
          <w:szCs w:val="22"/>
          <w:color w:val="auto"/>
        </w:rPr>
      </w:pPr>
    </w:p>
    <w:p>
      <w:pPr>
        <w:ind w:left="640" w:right="560" w:firstLine="644"/>
        <w:spacing w:after="0" w:line="358" w:lineRule="auto"/>
        <w:tabs>
          <w:tab w:leader="none" w:pos="1834" w:val="left"/>
        </w:tabs>
        <w:numPr>
          <w:ilvl w:val="0"/>
          <w:numId w:val="24"/>
        </w:numPr>
        <w:rPr>
          <w:rFonts w:ascii="Arial" w:cs="Arial" w:eastAsia="Arial" w:hAnsi="Arial"/>
          <w:sz w:val="19"/>
          <w:szCs w:val="19"/>
          <w:color w:val="auto"/>
        </w:rPr>
      </w:pPr>
      <w:r>
        <w:rPr>
          <w:rFonts w:ascii="Arial" w:cs="Arial" w:eastAsia="Arial" w:hAnsi="Arial"/>
          <w:sz w:val="19"/>
          <w:szCs w:val="19"/>
          <w:color w:val="auto"/>
        </w:rPr>
        <w:t>a cash payment equal to the amount of any Annual Bonus that the Company has notified Employee in writing that Employee has earned prior to the Date of Termination but is unpaid as of the Date of Termination; and</w:t>
      </w:r>
    </w:p>
    <w:p>
      <w:pPr>
        <w:spacing w:after="0" w:line="90" w:lineRule="exact"/>
        <w:rPr>
          <w:rFonts w:ascii="Arial" w:cs="Arial" w:eastAsia="Arial" w:hAnsi="Arial"/>
          <w:sz w:val="19"/>
          <w:szCs w:val="19"/>
          <w:color w:val="auto"/>
        </w:rPr>
      </w:pPr>
    </w:p>
    <w:p>
      <w:pPr>
        <w:ind w:left="1760" w:hanging="476"/>
        <w:spacing w:after="0"/>
        <w:tabs>
          <w:tab w:leader="none" w:pos="17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medical and dental coverage for a period of 24 months from the Date of Termination.</w:t>
      </w:r>
    </w:p>
    <w:p>
      <w:pPr>
        <w:spacing w:after="0" w:line="233" w:lineRule="exact"/>
        <w:rPr>
          <w:sz w:val="20"/>
          <w:szCs w:val="20"/>
          <w:color w:val="auto"/>
        </w:rPr>
      </w:pPr>
    </w:p>
    <w:p>
      <w:pPr>
        <w:ind w:left="-20" w:firstLine="1304"/>
        <w:spacing w:after="0" w:line="286" w:lineRule="auto"/>
        <w:tabs>
          <w:tab w:leader="none" w:pos="1750"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Conditions Precedent and Subsequent.</w:t>
      </w:r>
      <w:r>
        <w:rPr>
          <w:rFonts w:ascii="Arial" w:cs="Arial" w:eastAsia="Arial" w:hAnsi="Arial"/>
          <w:sz w:val="19"/>
          <w:szCs w:val="19"/>
          <w:color w:val="auto"/>
        </w:rPr>
        <w:t xml:space="preserve"> The payments and benefits provided under Sections 6(c) and 6(d) of this Agreement (other than the Accrued Benefits and other than in the event of termination by reason of Employee’s death or Disability) are subject to and conditioned upon (i) Employee having provided, within 60 days after the Date of Termination (or such greater period as required by law), a waiver and general release agreement in a form satisfactory to the Company that has become effective and irrevocable in accordance with its terms, and (ii) Employee’s compliance with Sections 7 and 8 of this Agreement. Employee shall, upon request by the Company, be required to repay to the Company (net of any taxes paid by Employee on such payments), and the Company shall have no further obligation to pay, the Severance Payment or CIC Severance Payment, as applicable, in the event Employee receives, within six months after the occurrence of the breach, written notice from the Company that, in the reasonable judgment of the Company, Employee has materially breached his obligations under Section 7 or 8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cases where cure is possible, Employee shall first be provided a 15-day cure period to cease, and to cure, such conduct. The Severance Payment if any, payable hereunder shall be paid in substantially equal installments over the 6-month period, following the Date of Termination, consistent with the Company’s payroll practices, with the first installment to be paid within 65 days after the Date of Termination and with any installments that would otherwise have been paid prior to such date accumulated and paid in a lump sum on the first date on which payments are made in accordance with the terms of this sentence. The CIC Severance Payment, if any, payable hereunder shall be paid in one lump sum within 65 days after the Date of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unless the CIC Severance Payment relates to a transaction that satisfies the requirements of</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00"/>
          </w:cols>
          <w:pgMar w:left="340" w:top="604" w:right="359" w:bottom="1440" w:gutter="0" w:footer="0" w:header="0"/>
        </w:sectPr>
      </w:pPr>
    </w:p>
    <w:bookmarkStart w:id="42" w:name="page43"/>
    <w:bookmarkEnd w:id="42"/>
    <w:p>
      <w:pPr>
        <w:ind w:right="260"/>
        <w:spacing w:after="0" w:line="253" w:lineRule="auto"/>
        <w:rPr>
          <w:sz w:val="20"/>
          <w:szCs w:val="20"/>
          <w:color w:val="auto"/>
        </w:rPr>
      </w:pPr>
      <w:r>
        <w:rPr>
          <w:rFonts w:ascii="Arial" w:cs="Arial" w:eastAsia="Arial" w:hAnsi="Arial"/>
          <w:sz w:val="22"/>
          <w:szCs w:val="22"/>
          <w:color w:val="auto"/>
        </w:rPr>
        <w:t>Treas. Reg. § 1.409A-3(i)(5), any portion of the CIC Severance Payment that constitutes deferred compensation within the meaning of Section 409A, will be paid at the earliest date that is permitted in accordance with the schedule that is applicable to the Severance Payment.</w:t>
      </w:r>
    </w:p>
    <w:p>
      <w:pPr>
        <w:spacing w:after="0" w:line="185" w:lineRule="exact"/>
        <w:rPr>
          <w:sz w:val="20"/>
          <w:szCs w:val="20"/>
          <w:color w:val="auto"/>
        </w:rPr>
      </w:pPr>
    </w:p>
    <w:p>
      <w:pPr>
        <w:ind w:firstLine="1304"/>
        <w:spacing w:after="0" w:line="285" w:lineRule="auto"/>
        <w:tabs>
          <w:tab w:leader="none" w:pos="1746"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Forfeiture of Equity Compensation Awards.</w:t>
      </w:r>
      <w:r>
        <w:rPr>
          <w:rFonts w:ascii="Arial" w:cs="Arial" w:eastAsia="Arial" w:hAnsi="Arial"/>
          <w:sz w:val="19"/>
          <w:szCs w:val="19"/>
          <w:color w:val="auto"/>
        </w:rPr>
        <w:t xml:space="preserve"> Notwithstanding anything to the contrary herein and without limiting any rights and remedies available to the Company under the terms of this Agreement or otherwise at law or in equity (including as may be required by law or pursuant to policies of the Company as may be in effect from time to time), in the event the Company terminates Employee’s employment for Cause or if Employee violates the restrictive covenants set forth in Sections 7 and 8 of this Agreement or engages in fraud or willful misconduct that contributes materially to any financial restatement or material loss to the Company or any of its affiliates, the Company may (i) in the case of a termination for Cause, at any time up to six months after such termination, or (ii) in the case of a violation of the restrictive covenants or engaging in fraud or willful misconduct, at any time up to six months after learning of such conduct, but in no event more than two years after Employee engages in such conduct, (x) terminate or cancel any Equity Compensation that are unvested or vested and unexercised,</w:t>
      </w:r>
    </w:p>
    <w:p>
      <w:pPr>
        <w:spacing w:after="0" w:line="4" w:lineRule="exact"/>
        <w:rPr>
          <w:rFonts w:ascii="Arial" w:cs="Arial" w:eastAsia="Arial" w:hAnsi="Arial"/>
          <w:sz w:val="19"/>
          <w:szCs w:val="19"/>
          <w:color w:val="auto"/>
        </w:rPr>
      </w:pPr>
    </w:p>
    <w:p>
      <w:pPr>
        <w:ind w:right="120" w:firstLine="8"/>
        <w:spacing w:after="0" w:line="257" w:lineRule="auto"/>
        <w:tabs>
          <w:tab w:leader="none" w:pos="306" w:val="left"/>
        </w:tabs>
        <w:numPr>
          <w:ilvl w:val="0"/>
          <w:numId w:val="27"/>
        </w:numPr>
        <w:rPr>
          <w:rFonts w:ascii="Arial" w:cs="Arial" w:eastAsia="Arial" w:hAnsi="Arial"/>
          <w:sz w:val="21"/>
          <w:szCs w:val="21"/>
          <w:color w:val="auto"/>
        </w:rPr>
      </w:pPr>
      <w:r>
        <w:rPr>
          <w:rFonts w:ascii="Arial" w:cs="Arial" w:eastAsia="Arial" w:hAnsi="Arial"/>
          <w:sz w:val="21"/>
          <w:szCs w:val="21"/>
          <w:color w:val="auto"/>
        </w:rPr>
        <w:t xml:space="preserve">require Employee to forfeit or remit to the Company any amount payable, or the after-tax net amount paid or received by Employee, in respect of any Equity Compensation the vesting of which was accelerated upon termination of Employee’s employment for any reason and (z) require Employee to forfeit or remit to the Company any shares (or the equivalent value in cash) that were issued to Employee (or cash that was paid to Employee) upon vesting, settlement or exercise, as applicable, of any Equity Compensation;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cases where cure is possible, Employee shall first be provided a 15-day cure period to cease, and to cure, such conduct. In addition, Employee’s Equity Compensation shall be subject to any other clawback or recoupment policy of the Company as may be in effect from time to time or any clawback or recoupment as may be required by applicable law.</w:t>
      </w:r>
    </w:p>
    <w:p>
      <w:pPr>
        <w:spacing w:after="0" w:line="181" w:lineRule="exact"/>
        <w:rPr>
          <w:rFonts w:ascii="Arial" w:cs="Arial" w:eastAsia="Arial" w:hAnsi="Arial"/>
          <w:sz w:val="21"/>
          <w:szCs w:val="21"/>
          <w:color w:val="auto"/>
        </w:rPr>
      </w:pPr>
    </w:p>
    <w:p>
      <w:pPr>
        <w:ind w:firstLine="1304"/>
        <w:spacing w:after="0" w:line="287" w:lineRule="auto"/>
        <w:tabs>
          <w:tab w:leader="none" w:pos="1782"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Section 280G.</w:t>
      </w:r>
      <w:r>
        <w:rPr>
          <w:rFonts w:ascii="Arial" w:cs="Arial" w:eastAsia="Arial" w:hAnsi="Arial"/>
          <w:sz w:val="19"/>
          <w:szCs w:val="19"/>
          <w:color w:val="auto"/>
        </w:rPr>
        <w:t xml:space="preserve"> In the event that any payments, distributions, benefits or entitlements of any type payable to Employee (“</w:t>
      </w:r>
      <w:r>
        <w:rPr>
          <w:rFonts w:ascii="Arial" w:cs="Arial" w:eastAsia="Arial" w:hAnsi="Arial"/>
          <w:sz w:val="19"/>
          <w:szCs w:val="19"/>
          <w:u w:val="single" w:color="auto"/>
          <w:color w:val="auto"/>
        </w:rPr>
        <w:t>CIC Benefits</w:t>
      </w:r>
      <w:r>
        <w:rPr>
          <w:rFonts w:ascii="Arial" w:cs="Arial" w:eastAsia="Arial" w:hAnsi="Arial"/>
          <w:sz w:val="19"/>
          <w:szCs w:val="19"/>
          <w:color w:val="auto"/>
        </w:rPr>
        <w:t>”) (i) constitute “parachute payments” within the meaning of Section 280G of the Code, and (ii) but for this paragraph would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Employee’s CIC Benefits shall be reduced to such lesser amount (the “</w:t>
      </w:r>
      <w:r>
        <w:rPr>
          <w:rFonts w:ascii="Arial" w:cs="Arial" w:eastAsia="Arial" w:hAnsi="Arial"/>
          <w:sz w:val="19"/>
          <w:szCs w:val="19"/>
          <w:u w:val="single" w:color="auto"/>
          <w:color w:val="auto"/>
        </w:rPr>
        <w:t>Reduced Amount</w:t>
      </w:r>
      <w:r>
        <w:rPr>
          <w:rFonts w:ascii="Arial" w:cs="Arial" w:eastAsia="Arial" w:hAnsi="Arial"/>
          <w:sz w:val="19"/>
          <w:szCs w:val="19"/>
          <w:color w:val="auto"/>
        </w:rPr>
        <w:t xml:space="preserve">”) that would result in no portion of such benefits being subject to the Excise Tax;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amounts shall not be so reduced if the Company determines, based on the advice of a nationally recognized accounting firm selected by the Company prior to a Change of Control (the “</w:t>
      </w:r>
      <w:r>
        <w:rPr>
          <w:rFonts w:ascii="Arial" w:cs="Arial" w:eastAsia="Arial" w:hAnsi="Arial"/>
          <w:sz w:val="19"/>
          <w:szCs w:val="19"/>
          <w:u w:val="single" w:color="auto"/>
          <w:color w:val="auto"/>
        </w:rPr>
        <w:t>Accountants</w:t>
      </w:r>
      <w:r>
        <w:rPr>
          <w:rFonts w:ascii="Arial" w:cs="Arial" w:eastAsia="Arial" w:hAnsi="Arial"/>
          <w:sz w:val="19"/>
          <w:szCs w:val="19"/>
          <w:color w:val="auto"/>
        </w:rPr>
        <w:t>”), that without such reduction Employee would be entitled to receive and retain, on a net after tax basis (including, without limitation, any excise taxes payable under Section 4999 of the Code), an amount that is greater than the amount, on a net after tax basis, that Employee would be entitled to retain upon receipt of the Reduced Amount. Unless the Company and Employee otherwise agree in writing, any determination required under this Section 6(g) shall be made in writing in good faith by the Accountants. In the event of a reduction of benefits hereunder, benefits shall be reduced by first reducing or eliminating the portion of the CIC Benefits that are payable in cash under Section 6(d)(ii) and 6(d)(iii) and then by reducing or eliminating any amounts that are payable with respect to long-term incentives including any equity-based or equity-related awards (whether payable in cash or in kind). For purposes of making the calculations required by this Section 6(g), the Accountants may make reasonable assumptions and approximations concerning applicable taxes and may rely 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604" w:right="339" w:bottom="1440" w:gutter="0" w:footer="0" w:header="0"/>
        </w:sectPr>
      </w:pPr>
    </w:p>
    <w:bookmarkStart w:id="43" w:name="page44"/>
    <w:bookmarkEnd w:id="43"/>
    <w:p>
      <w:pPr>
        <w:ind w:right="100"/>
        <w:spacing w:after="0" w:line="265" w:lineRule="auto"/>
        <w:rPr>
          <w:sz w:val="20"/>
          <w:szCs w:val="20"/>
          <w:color w:val="auto"/>
        </w:rPr>
      </w:pPr>
      <w:r>
        <w:rPr>
          <w:rFonts w:ascii="Arial" w:cs="Arial" w:eastAsia="Arial" w:hAnsi="Arial"/>
          <w:sz w:val="21"/>
          <w:szCs w:val="21"/>
          <w:color w:val="auto"/>
        </w:rPr>
        <w:t>reasonable, good faith interpretations concerning the application of the Code, and other applicable legal authority. The Company and Employee shall furnish to the Accountants such information and documents as the Accountants may reasonably require in order to make a determination under this Section 6(g), and the Company shall bear the cost of all fees the Accountants charge in connection with any calculations contemplated by this Section 6(g).</w:t>
      </w:r>
    </w:p>
    <w:p>
      <w:pPr>
        <w:spacing w:after="0" w:line="175" w:lineRule="exact"/>
        <w:rPr>
          <w:sz w:val="20"/>
          <w:szCs w:val="20"/>
          <w:color w:val="auto"/>
        </w:rPr>
      </w:pPr>
    </w:p>
    <w:p>
      <w:pPr>
        <w:ind w:firstLine="1304"/>
        <w:spacing w:after="0" w:line="261" w:lineRule="auto"/>
        <w:tabs>
          <w:tab w:leader="none" w:pos="1692"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Non-Solicitation.</w:t>
      </w:r>
      <w:r>
        <w:rPr>
          <w:rFonts w:ascii="Arial" w:cs="Arial" w:eastAsia="Arial" w:hAnsi="Arial"/>
          <w:sz w:val="21"/>
          <w:szCs w:val="21"/>
          <w:color w:val="auto"/>
        </w:rPr>
        <w:t xml:space="preserve"> (a) During the Term and during the Restricted Period, Employee hereby agrees not to, directly or indirectly, solicit or hire or assist any other person or entity in soliciting or hiring any employee of the Company, or any of its affiliates (the “</w:t>
      </w:r>
      <w:r>
        <w:rPr>
          <w:rFonts w:ascii="Arial" w:cs="Arial" w:eastAsia="Arial" w:hAnsi="Arial"/>
          <w:sz w:val="21"/>
          <w:szCs w:val="21"/>
          <w:u w:val="single" w:color="auto"/>
          <w:color w:val="auto"/>
        </w:rPr>
        <w:t>Company Entities</w:t>
      </w:r>
      <w:r>
        <w:rPr>
          <w:rFonts w:ascii="Arial" w:cs="Arial" w:eastAsia="Arial" w:hAnsi="Arial"/>
          <w:sz w:val="21"/>
          <w:szCs w:val="21"/>
          <w:color w:val="auto"/>
        </w:rPr>
        <w:t>”), to perform services for any entity (other than a Company Entity) or attempt to induce any such employee to leave the service of a Company Entity, or solicit, hire, employ or engage on behalf of himself or any other person, any employee of a Company Entity, or anyone who was employed by a Company Entity, during the twelve-month period preceding such hiring, employment or engagement. “</w:t>
      </w:r>
      <w:r>
        <w:rPr>
          <w:rFonts w:ascii="Arial" w:cs="Arial" w:eastAsia="Arial" w:hAnsi="Arial"/>
          <w:sz w:val="21"/>
          <w:szCs w:val="21"/>
          <w:u w:val="single" w:color="auto"/>
          <w:color w:val="auto"/>
        </w:rPr>
        <w:t>Restricted Period</w:t>
      </w:r>
      <w:r>
        <w:rPr>
          <w:rFonts w:ascii="Arial" w:cs="Arial" w:eastAsia="Arial" w:hAnsi="Arial"/>
          <w:sz w:val="21"/>
          <w:szCs w:val="21"/>
          <w:color w:val="auto"/>
        </w:rPr>
        <w:t>” means three years following termination of Employee’s employment for any reason and, for the avoidance of doubt, regardless of whether such termination is before, upon or after expiration of the Term.</w:t>
      </w:r>
    </w:p>
    <w:p>
      <w:pPr>
        <w:spacing w:after="0" w:line="181" w:lineRule="exact"/>
        <w:rPr>
          <w:sz w:val="20"/>
          <w:szCs w:val="20"/>
          <w:color w:val="auto"/>
        </w:rPr>
      </w:pPr>
    </w:p>
    <w:p>
      <w:pPr>
        <w:ind w:right="220" w:firstLine="1304"/>
        <w:spacing w:after="0" w:line="297" w:lineRule="auto"/>
        <w:tabs>
          <w:tab w:leader="none" w:pos="1782" w:val="left"/>
        </w:tabs>
        <w:numPr>
          <w:ilvl w:val="0"/>
          <w:numId w:val="29"/>
        </w:numPr>
        <w:rPr>
          <w:rFonts w:ascii="Arial" w:cs="Arial" w:eastAsia="Arial" w:hAnsi="Arial"/>
          <w:sz w:val="19"/>
          <w:szCs w:val="19"/>
          <w:color w:val="auto"/>
        </w:rPr>
      </w:pPr>
      <w:r>
        <w:rPr>
          <w:rFonts w:ascii="Arial" w:cs="Arial" w:eastAsia="Arial" w:hAnsi="Arial"/>
          <w:sz w:val="19"/>
          <w:szCs w:val="19"/>
          <w:color w:val="auto"/>
        </w:rPr>
        <w:t>During the Term and during the Restricted Period, Employee hereby agrees not to, directly or indirectly, solicit, encourage, advise or influence any individuals, partnerships, corporations, professional associations or other business organizations that have a business relationship with any Company Entity during the Term or for the three years thereafter and about which business relationship Employee was aware (the “</w:t>
      </w:r>
      <w:r>
        <w:rPr>
          <w:rFonts w:ascii="Arial" w:cs="Arial" w:eastAsia="Arial" w:hAnsi="Arial"/>
          <w:sz w:val="19"/>
          <w:szCs w:val="19"/>
          <w:u w:val="single" w:color="auto"/>
          <w:color w:val="auto"/>
        </w:rPr>
        <w:t>Company’s Clients</w:t>
      </w:r>
      <w:r>
        <w:rPr>
          <w:rFonts w:ascii="Arial" w:cs="Arial" w:eastAsia="Arial" w:hAnsi="Arial"/>
          <w:sz w:val="19"/>
          <w:szCs w:val="19"/>
          <w:color w:val="auto"/>
        </w:rPr>
        <w:t>”) or to discontinue or reduce the extent of the relationship between the Company Entities and the Company’s Clients or to obtain or seek products or services the same as or similar to those offered by the Company Entities from any source not affiliated with the Company Entities.</w:t>
      </w:r>
    </w:p>
    <w:p>
      <w:pPr>
        <w:spacing w:after="0" w:line="146" w:lineRule="exact"/>
        <w:rPr>
          <w:sz w:val="20"/>
          <w:szCs w:val="20"/>
          <w:color w:val="auto"/>
        </w:rPr>
      </w:pPr>
    </w:p>
    <w:p>
      <w:pPr>
        <w:ind w:left="1300"/>
        <w:spacing w:after="0"/>
        <w:tabs>
          <w:tab w:leader="none" w:pos="1680" w:val="left"/>
          <w:tab w:leader="none" w:pos="9420" w:val="left"/>
        </w:tabs>
        <w:rPr>
          <w:sz w:val="20"/>
          <w:szCs w:val="20"/>
          <w:color w:val="auto"/>
        </w:rPr>
      </w:pPr>
      <w:r>
        <w:rPr>
          <w:rFonts w:ascii="Arial" w:cs="Arial" w:eastAsia="Arial" w:hAnsi="Arial"/>
          <w:sz w:val="22"/>
          <w:szCs w:val="22"/>
          <w:color w:val="auto"/>
        </w:rPr>
        <w:t>8.</w:t>
      </w:r>
      <w:r>
        <w:rPr>
          <w:sz w:val="20"/>
          <w:szCs w:val="20"/>
          <w:color w:val="auto"/>
        </w:rPr>
        <w:tab/>
      </w:r>
      <w:r>
        <w:rPr>
          <w:rFonts w:ascii="Arial" w:cs="Arial" w:eastAsia="Arial" w:hAnsi="Arial"/>
          <w:sz w:val="22"/>
          <w:szCs w:val="22"/>
          <w:u w:val="single" w:color="auto"/>
          <w:color w:val="auto"/>
        </w:rPr>
        <w:t>Confidentiality; Non-Compete; Non-Disclosure; Non-Disparagement; Cooperation.</w:t>
      </w:r>
      <w:r>
        <w:rPr>
          <w:rFonts w:ascii="Arial" w:cs="Arial" w:eastAsia="Arial" w:hAnsi="Arial"/>
          <w:sz w:val="22"/>
          <w:szCs w:val="22"/>
          <w:color w:val="auto"/>
        </w:rPr>
        <w:t xml:space="preserve"> (a)</w:t>
      </w:r>
      <w:r>
        <w:rPr>
          <w:sz w:val="20"/>
          <w:szCs w:val="20"/>
          <w:color w:val="auto"/>
        </w:rPr>
        <w:tab/>
      </w:r>
      <w:r>
        <w:rPr>
          <w:rFonts w:ascii="Arial" w:cs="Arial" w:eastAsia="Arial" w:hAnsi="Arial"/>
          <w:sz w:val="19"/>
          <w:szCs w:val="19"/>
          <w:u w:val="single" w:color="auto"/>
          <w:color w:val="auto"/>
        </w:rPr>
        <w:t>Confidentiality.</w:t>
      </w:r>
    </w:p>
    <w:p>
      <w:pPr>
        <w:spacing w:after="0" w:line="21" w:lineRule="exact"/>
        <w:rPr>
          <w:sz w:val="20"/>
          <w:szCs w:val="20"/>
          <w:color w:val="auto"/>
        </w:rPr>
      </w:pPr>
    </w:p>
    <w:p>
      <w:pPr>
        <w:ind w:firstLine="8"/>
        <w:spacing w:after="0" w:line="285" w:lineRule="auto"/>
        <w:tabs>
          <w:tab w:leader="none" w:pos="4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Employee hereby agrees that, during the Term and thereafter, he will hold in strict confidence any Confidential Information related to any of the Company Entities. For purposes of this Agreement,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shall mean all confidential or proprietary information of any of the Company Entities (in whatever form), whether or not that information rises to the level of a protectable trade secret, including, without limitation: any information, observations and data concerning the business or affairs or operation of the Company Entities developed or learned by Employee during the Term or which any Company Entity or any of their respective members, directors, officers, managers, partners, employees, agents, advisors, attorneys, accountants, consultants, investment bankers, investment advisors or financing sources at any time furnishes or has furnished to Employee in connection with the business of any of the Company Entities; the Company’s (and any of its respective affiliates’) investment methodologies or models, investment advisory contracts, fees and fee schedules or investment performance (“</w:t>
      </w:r>
      <w:r>
        <w:rPr>
          <w:rFonts w:ascii="Arial" w:cs="Arial" w:eastAsia="Arial" w:hAnsi="Arial"/>
          <w:sz w:val="19"/>
          <w:szCs w:val="19"/>
          <w:u w:val="single" w:color="auto"/>
          <w:color w:val="auto"/>
        </w:rPr>
        <w:t>Track Records</w:t>
      </w:r>
      <w:r>
        <w:rPr>
          <w:rFonts w:ascii="Arial" w:cs="Arial" w:eastAsia="Arial" w:hAnsi="Arial"/>
          <w:sz w:val="19"/>
          <w:szCs w:val="19"/>
          <w:color w:val="auto"/>
        </w:rPr>
        <w:t>”); technical information or reports; brand names, trademarks, formulas; trade secrets; unwritten knowledge and “know-how”; operating instructions; training manuals; customer lists and related customer information; customer buying records and habits; product sales records and documents, and product development, marketing and sales strategies; market surveys; marketing plans; profitability analyses; product cost; long-range plans; information relating to pricing, competitive strategies and new product development; information relating to any forms of compensation or other personnel-related information of the Company Entities; contracts and supplier lists and any information relating to</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604" w:right="359" w:bottom="1440" w:gutter="0" w:footer="0" w:header="0"/>
        </w:sectPr>
      </w:pPr>
    </w:p>
    <w:bookmarkStart w:id="44" w:name="page45"/>
    <w:bookmarkEnd w:id="44"/>
    <w:p>
      <w:pPr>
        <w:spacing w:after="0" w:line="361" w:lineRule="auto"/>
        <w:rPr>
          <w:sz w:val="20"/>
          <w:szCs w:val="20"/>
          <w:color w:val="auto"/>
        </w:rPr>
      </w:pPr>
      <w:r>
        <w:rPr>
          <w:rFonts w:ascii="Arial" w:cs="Arial" w:eastAsia="Arial" w:hAnsi="Arial"/>
          <w:sz w:val="19"/>
          <w:szCs w:val="19"/>
          <w:color w:val="auto"/>
        </w:rPr>
        <w:t>financial data, strategic business plans; information about any third parties with which any Company Entity has a business relationship or owes a duty of confidentiality; and all notes, analyses, compilations, forecasts, studies or other documents prepared by Employee or obtained by Employee in the course of his work for a Company Entity that contain or reflect any such information and, in each case, which is not known to the public generally other than as a result of Employee’s breach of this Agreement. Without limiting the foregoing, Employee acknowledges and agrees that the Track Records shall not be the work of any one individual (including Employee) and are the exclusive property of the Company and its affiliates, as applicable, and agrees that he shall in no event claim the Track Records as his own following termination of his employment with the Company. Nothing in this Agreement shall prohibit or restrict any person from (1) testifying truthfully to the extent required by applicable law or legal process, (2) communicating with any governmental, administrative or regulatory agency or authority, including, but not limited to, the U.S. Securities and Exchange Commission, the U.S. Consumer Financial Protection Bureau, the U.S. Department of Justice, the U.S. Equal Employment Opportunity Commission and the U.S. National Labor Relations Board, (3) disclosing information in confidence to an attorney for the purpose of obtaining legal advice so long as such attorney agrees not to use or disclose such information, (4) disclosing information with the prior written consent of the Board so long as such consent specifically references this provision and/or (5) disclosing information that is publicly known other than by reason of Employee’s violation of this Section 8(a). In the event Employee or his legal representative is requested or required to disclose any Confidential Information, Employee shall provide the Company with prompt notice of such request or requirement so that the Company may seek an appropriate protective order (in which Employee will cooperate). If the Company fails to obtain a protective order or provides a waiver hereunder, and Employee is, in the opinion of counsel, compelled to disclose Confidential Information, Employee may disclose only that portion of the Confidential Information that Employee’s counsel advises is reasonably required by law to disclose.</w:t>
      </w:r>
    </w:p>
    <w:p>
      <w:pPr>
        <w:spacing w:after="0" w:line="200" w:lineRule="exact"/>
        <w:rPr>
          <w:sz w:val="20"/>
          <w:szCs w:val="20"/>
          <w:color w:val="auto"/>
        </w:rPr>
      </w:pPr>
    </w:p>
    <w:p>
      <w:pPr>
        <w:spacing w:after="0" w:line="252" w:lineRule="exact"/>
        <w:rPr>
          <w:sz w:val="20"/>
          <w:szCs w:val="20"/>
          <w:color w:val="auto"/>
        </w:rPr>
      </w:pPr>
    </w:p>
    <w:p>
      <w:pPr>
        <w:jc w:val="both"/>
        <w:ind w:right="20" w:firstLine="1304"/>
        <w:spacing w:after="0" w:line="270" w:lineRule="auto"/>
        <w:tabs>
          <w:tab w:leader="none" w:pos="1794" w:val="left"/>
        </w:tabs>
        <w:numPr>
          <w:ilvl w:val="0"/>
          <w:numId w:val="31"/>
        </w:numPr>
        <w:rPr>
          <w:rFonts w:ascii="Arial" w:cs="Arial" w:eastAsia="Arial" w:hAnsi="Arial"/>
          <w:sz w:val="21"/>
          <w:szCs w:val="21"/>
          <w:color w:val="auto"/>
        </w:rPr>
      </w:pPr>
      <w:r>
        <w:rPr>
          <w:rFonts w:ascii="Arial" w:cs="Arial" w:eastAsia="Arial" w:hAnsi="Arial"/>
          <w:sz w:val="21"/>
          <w:szCs w:val="21"/>
          <w:color w:val="auto"/>
        </w:rPr>
        <w:t>Except as expressly set forth otherwise in this Agreement, Employee agrees that Employee shall not disclose the terms of this Agreement, except to his immediate family and his financial and legal advisors, or as may be required by law or ordered by a court. Employee further agrees that any disclosure to his financial and legal advisors will only be made after such advisors acknowledge and agree to maintain the confidentiality of this Agreement and its terms.</w:t>
      </w:r>
    </w:p>
    <w:p>
      <w:pPr>
        <w:spacing w:after="0" w:line="168" w:lineRule="exact"/>
        <w:rPr>
          <w:rFonts w:ascii="Arial" w:cs="Arial" w:eastAsia="Arial" w:hAnsi="Arial"/>
          <w:sz w:val="21"/>
          <w:szCs w:val="21"/>
          <w:color w:val="auto"/>
        </w:rPr>
      </w:pPr>
    </w:p>
    <w:p>
      <w:pPr>
        <w:ind w:firstLine="1304"/>
        <w:spacing w:after="0" w:line="251" w:lineRule="auto"/>
        <w:tabs>
          <w:tab w:leader="none" w:pos="1854" w:val="left"/>
        </w:tabs>
        <w:numPr>
          <w:ilvl w:val="0"/>
          <w:numId w:val="31"/>
        </w:numPr>
        <w:rPr>
          <w:rFonts w:ascii="Arial" w:cs="Arial" w:eastAsia="Arial" w:hAnsi="Arial"/>
          <w:sz w:val="22"/>
          <w:szCs w:val="22"/>
          <w:color w:val="auto"/>
        </w:rPr>
      </w:pPr>
      <w:r>
        <w:rPr>
          <w:rFonts w:ascii="Arial" w:cs="Arial" w:eastAsia="Arial" w:hAnsi="Arial"/>
          <w:sz w:val="22"/>
          <w:szCs w:val="22"/>
          <w:color w:val="auto"/>
        </w:rPr>
        <w:t>Employee further agrees that he will not improperly use or disclose any Confidential Information or trade secrets, if any, of any former employers of Employee or any other person to whom Employee has an obligation of confidentiality, and will not bring onto the premises of the Company or its affiliates any unpublished documents or any property belonging to any such former employer or other person to whom Employee has an obligation of confidentiality unless consented to in writing by the former employer or such other person.</w:t>
      </w:r>
    </w:p>
    <w:p>
      <w:pPr>
        <w:spacing w:after="0" w:line="189" w:lineRule="exact"/>
        <w:rPr>
          <w:sz w:val="20"/>
          <w:szCs w:val="20"/>
          <w:color w:val="auto"/>
        </w:rPr>
      </w:pPr>
    </w:p>
    <w:p>
      <w:pPr>
        <w:ind w:right="220" w:firstLine="1304"/>
        <w:spacing w:after="0" w:line="266" w:lineRule="auto"/>
        <w:tabs>
          <w:tab w:leader="none" w:pos="1782"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Non-Competition.</w:t>
      </w:r>
      <w:r>
        <w:rPr>
          <w:rFonts w:ascii="Arial" w:cs="Arial" w:eastAsia="Arial" w:hAnsi="Arial"/>
          <w:sz w:val="21"/>
          <w:szCs w:val="21"/>
          <w:color w:val="auto"/>
        </w:rPr>
        <w:t xml:space="preserve"> Employee agrees that Employee will not, during the Term and during the Non-Compete Period, within the Restricted Area, directly or indirectly (whether or not for compensation) become employed by, engage in business with, serve as an agent or consultant to, become an employee, partner, member, principal, stockholder or other owner (other than a holder of less than 1% of the outstanding voting shares of any publicly held company) of, any Competitive Business. Nor shall Employee, during the Term and during the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631" w:right="359" w:bottom="1440" w:gutter="0" w:footer="0" w:header="0"/>
        </w:sectPr>
      </w:pPr>
    </w:p>
    <w:bookmarkStart w:id="45" w:name="page46"/>
    <w:bookmarkEnd w:id="45"/>
    <w:p>
      <w:pPr>
        <w:ind w:right="60"/>
        <w:spacing w:after="0" w:line="285" w:lineRule="auto"/>
        <w:rPr>
          <w:sz w:val="20"/>
          <w:szCs w:val="20"/>
          <w:color w:val="auto"/>
        </w:rPr>
      </w:pPr>
      <w:r>
        <w:rPr>
          <w:rFonts w:ascii="Arial" w:cs="Arial" w:eastAsia="Arial" w:hAnsi="Arial"/>
          <w:sz w:val="19"/>
          <w:szCs w:val="19"/>
          <w:color w:val="auto"/>
        </w:rPr>
        <w:t>Non-Compete Period, within the Restricted Area, otherwise compete with, or perform services relating to the business of, any of the Company Entities for any business other than a Company Entity, in any business in which the Company Entities participate, or businesses they are actively considering, at the time of termination of Employee’s employment or during the one year prior to such termination (the “</w:t>
      </w:r>
      <w:r>
        <w:rPr>
          <w:rFonts w:ascii="Arial" w:cs="Arial" w:eastAsia="Arial" w:hAnsi="Arial"/>
          <w:sz w:val="19"/>
          <w:szCs w:val="19"/>
          <w:u w:val="single" w:color="auto"/>
          <w:color w:val="auto"/>
        </w:rPr>
        <w:t>Business</w:t>
      </w:r>
      <w:r>
        <w:rPr>
          <w:rFonts w:ascii="Arial" w:cs="Arial" w:eastAsia="Arial" w:hAnsi="Arial"/>
          <w:sz w:val="19"/>
          <w:szCs w:val="19"/>
          <w:color w:val="auto"/>
        </w:rPr>
        <w:t>”). For purposes of this Agreement, “</w:t>
      </w:r>
      <w:r>
        <w:rPr>
          <w:rFonts w:ascii="Arial" w:cs="Arial" w:eastAsia="Arial" w:hAnsi="Arial"/>
          <w:sz w:val="19"/>
          <w:szCs w:val="19"/>
          <w:u w:val="single" w:color="auto"/>
          <w:color w:val="auto"/>
        </w:rPr>
        <w:t>Competitive Business</w:t>
      </w:r>
      <w:r>
        <w:rPr>
          <w:rFonts w:ascii="Arial" w:cs="Arial" w:eastAsia="Arial" w:hAnsi="Arial"/>
          <w:sz w:val="19"/>
          <w:szCs w:val="19"/>
          <w:color w:val="auto"/>
        </w:rPr>
        <w:t>” shall mean any individual, employeeship, corporation, limited liability company, partnership, unincorporated organization, trust, joint venture or other entity</w:t>
      </w:r>
    </w:p>
    <w:p>
      <w:pPr>
        <w:spacing w:after="0" w:line="3" w:lineRule="exact"/>
        <w:rPr>
          <w:sz w:val="20"/>
          <w:szCs w:val="20"/>
          <w:color w:val="auto"/>
        </w:rPr>
      </w:pPr>
    </w:p>
    <w:p>
      <w:pPr>
        <w:ind w:firstLine="8"/>
        <w:spacing w:after="0" w:line="283" w:lineRule="auto"/>
        <w:tabs>
          <w:tab w:leader="none" w:pos="258"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that engages in or may engage in acquisition related or mergers and acquisition activities related to the transportation or third-party logistics industry, including, without limitation, researching, analyzing and evaluating companies for possible investment in or acquisition of, for itself or clients, (ii) that engages in or may engage in transportation or logistics services, including asset-based, asset-light or non-asset, supply chain services, including only by way of illustration, freight brokerage or freight transportation, freight management, freight forwarding, expediting, internet load boards, last-mile delivery logistics, contract logistics or intermodal providers, or firms such as Amazon, CH Robinson, Expeditors International of Washington, Inc., Echo Global Logistics Inc., Total Quality Logistics, TransCor, DHL, FedEx Corporation, United Parcel Service, Inc., J.B. Hunt Transport Services, Inc., Kühne + Nagel International AG, syncreon, Neovia Logistics, Hub Group Inc., TPG and its affiliate investment companies, Uber, and Walmart Inc., or (iii) that otherwise competes with the Company Entities anywhere in which the Company Entities engage in or intend to engage in the Business or where any of the Company Entities’ customers are located. For the avoidance of doubt, it shall be a violation of this Section 8(b) for Employee to provide any services whatsoever to any private equity firm, hedge fund or similar firm or fund that invests in a company engaged in any Competitive Business, any investment bank or similar firm that advises companies engaged in any Competitive Business or any business intelligence or similar research or consulting organization that services private equity firms, hedge funds or similar firms or funds that invest in companies engaged in any Competitive Business (such as the Third Bridge Group, the Gerson Lehrman Group, Alphasights and Coleman Research), in each case in the Restricted Area during the Term or the Restricted Period. “</w:t>
      </w:r>
      <w:r>
        <w:rPr>
          <w:rFonts w:ascii="Arial" w:cs="Arial" w:eastAsia="Arial" w:hAnsi="Arial"/>
          <w:sz w:val="19"/>
          <w:szCs w:val="19"/>
          <w:u w:val="single" w:color="auto"/>
          <w:color w:val="auto"/>
        </w:rPr>
        <w:t>Restricted Area</w:t>
      </w:r>
      <w:r>
        <w:rPr>
          <w:rFonts w:ascii="Arial" w:cs="Arial" w:eastAsia="Arial" w:hAnsi="Arial"/>
          <w:sz w:val="19"/>
          <w:szCs w:val="19"/>
          <w:color w:val="auto"/>
        </w:rPr>
        <w:t>” means Canada, Mexico, France, United Kingdom, Netherlands, Spain, Italy, and any State of the United States and any other country in which the Company or any Company Entity does business or any other country in which any Company client is located during the Term or the Restricted Period. “</w:t>
      </w:r>
      <w:r>
        <w:rPr>
          <w:rFonts w:ascii="Arial" w:cs="Arial" w:eastAsia="Arial" w:hAnsi="Arial"/>
          <w:sz w:val="19"/>
          <w:szCs w:val="19"/>
          <w:u w:val="single" w:color="auto"/>
          <w:color w:val="auto"/>
        </w:rPr>
        <w:t>Non-Compete Period</w:t>
      </w:r>
      <w:r>
        <w:rPr>
          <w:rFonts w:ascii="Arial" w:cs="Arial" w:eastAsia="Arial" w:hAnsi="Arial"/>
          <w:sz w:val="19"/>
          <w:szCs w:val="19"/>
          <w:color w:val="auto"/>
        </w:rPr>
        <w:t>” shall mean, subject to Section 8(c) below, two years following termination of Employee’s employment for any reason and, for the avoidance of doubt, regardless of whether such termination is before, upon or after expiration of the Term.</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right="100" w:firstLine="1304"/>
        <w:spacing w:after="0" w:line="291" w:lineRule="auto"/>
        <w:tabs>
          <w:tab w:leader="none" w:pos="1770"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Extended Non-Competition.</w:t>
      </w:r>
      <w:r>
        <w:rPr>
          <w:rFonts w:ascii="Arial" w:cs="Arial" w:eastAsia="Arial" w:hAnsi="Arial"/>
          <w:sz w:val="19"/>
          <w:szCs w:val="19"/>
          <w:color w:val="auto"/>
        </w:rPr>
        <w:t xml:space="preserve"> The Company shall have the right to extend the Non-Compete Period for up to an additional 12-month period (the “</w:t>
      </w:r>
      <w:r>
        <w:rPr>
          <w:rFonts w:ascii="Arial" w:cs="Arial" w:eastAsia="Arial" w:hAnsi="Arial"/>
          <w:sz w:val="19"/>
          <w:szCs w:val="19"/>
          <w:u w:val="single" w:color="auto"/>
          <w:color w:val="auto"/>
        </w:rPr>
        <w:t>Extended Non-Compete Period</w:t>
      </w:r>
      <w:r>
        <w:rPr>
          <w:rFonts w:ascii="Arial" w:cs="Arial" w:eastAsia="Arial" w:hAnsi="Arial"/>
          <w:sz w:val="19"/>
          <w:szCs w:val="19"/>
          <w:color w:val="auto"/>
        </w:rPr>
        <w:t>”) beyond the completion of the Non-Compete Period. If the Company elects to extend the Non-Compete Period, it will notify Employee in writing of such fact not later than the 90th day prior to the expiration of the Non-Compete Period. By signing this Agreement, Employee agrees to accept and abide by the Company’s election. If the Company elects to extend the Non-Compete Period, Employee agrees that, during the Extended Non-Compete Period, Employee shall be bound by the restrictions set forth in Section 8(b) in the same manner applicable during the Non-Compete Period, and the Company agrees to pay Employee subject to Section 6(e) of this Agreement during each month of the Extended Non-Compete Period, in an amount equal to his monthly Base Salary as in effect on the Date of Termination. Payment for any partial month will be prorated. Payment of Employee’s Base Salary during the Extended Non-Compete Period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604" w:right="339" w:bottom="1440" w:gutter="0" w:footer="0" w:header="0"/>
        </w:sectPr>
      </w:pPr>
    </w:p>
    <w:bookmarkStart w:id="46" w:name="page47"/>
    <w:bookmarkEnd w:id="46"/>
    <w:p>
      <w:pPr>
        <w:ind w:right="140"/>
        <w:spacing w:after="0" w:line="292" w:lineRule="auto"/>
        <w:rPr>
          <w:sz w:val="20"/>
          <w:szCs w:val="20"/>
          <w:color w:val="auto"/>
        </w:rPr>
      </w:pPr>
      <w:r>
        <w:rPr>
          <w:rFonts w:ascii="Arial" w:cs="Arial" w:eastAsia="Arial" w:hAnsi="Arial"/>
          <w:sz w:val="19"/>
          <w:szCs w:val="19"/>
          <w:color w:val="auto"/>
        </w:rPr>
        <w:t>will be made pursuant to the Company’s normal and customary payroll procedures. If the Company elects to extend the Non-Compete Period, any monies Employee earns from any other work during such periods, whether as an employee or as an independent contractor, will reduce, dollar for dollar, the amount that the Company is obligated to pay Employee under this Section 8(c). Payments made by the Company under this Section 8(c) are made solely for the extension of the non-compete covenant and do not render Employee either an employee of, or a consultant to, the Company. Notwithstanding any provision of this Agreement to the contrary, the right of the Company to extend the Non-Compete Period hereunder and any related payment of Base Salary for the Extended Non-Compete Period hereunder shall lapse upon a Change of Control.</w:t>
      </w:r>
    </w:p>
    <w:p>
      <w:pPr>
        <w:spacing w:after="0" w:line="151" w:lineRule="exact"/>
        <w:rPr>
          <w:sz w:val="20"/>
          <w:szCs w:val="20"/>
          <w:color w:val="auto"/>
        </w:rPr>
      </w:pPr>
    </w:p>
    <w:p>
      <w:pPr>
        <w:ind w:firstLine="1304"/>
        <w:spacing w:after="0" w:line="248" w:lineRule="auto"/>
        <w:tabs>
          <w:tab w:leader="none" w:pos="1782"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Competitive Opportunity.</w:t>
      </w:r>
      <w:r>
        <w:rPr>
          <w:rFonts w:ascii="Arial" w:cs="Arial" w:eastAsia="Arial" w:hAnsi="Arial"/>
          <w:sz w:val="22"/>
          <w:szCs w:val="22"/>
          <w:color w:val="auto"/>
        </w:rPr>
        <w:t xml:space="preserve"> If, at any time during the Term, Employee (i) acquires knowledge of a potential investment, investment opportunity or business venture which may be an appropriate investment by the Company, or in which the Company could otherwise have an interest or expectancy (a “</w:t>
      </w:r>
      <w:r>
        <w:rPr>
          <w:rFonts w:ascii="Arial" w:cs="Arial" w:eastAsia="Arial" w:hAnsi="Arial"/>
          <w:sz w:val="22"/>
          <w:szCs w:val="22"/>
          <w:u w:val="single" w:color="auto"/>
          <w:color w:val="auto"/>
        </w:rPr>
        <w:t>Competitive Opportunity</w:t>
      </w:r>
      <w:r>
        <w:rPr>
          <w:rFonts w:ascii="Arial" w:cs="Arial" w:eastAsia="Arial" w:hAnsi="Arial"/>
          <w:sz w:val="22"/>
          <w:szCs w:val="22"/>
          <w:color w:val="auto"/>
        </w:rPr>
        <w:t>”), or (ii) otherwise is then exploiting any Competitive Opportunity, Employee shall promptly bring such Competitive Opportunity to the Company. In such event, Employee shall not have the right to hold any such Competitive Opportunity for his (and his agents’, employees’ or affiliates’) own account and benefit or to recommend, assign or otherwise transfer or deal in such Competitive Opportunity with persons other than the Company.</w:t>
      </w:r>
    </w:p>
    <w:p>
      <w:pPr>
        <w:spacing w:after="0" w:line="195" w:lineRule="exact"/>
        <w:rPr>
          <w:rFonts w:ascii="Arial" w:cs="Arial" w:eastAsia="Arial" w:hAnsi="Arial"/>
          <w:sz w:val="22"/>
          <w:szCs w:val="22"/>
          <w:color w:val="auto"/>
        </w:rPr>
      </w:pPr>
    </w:p>
    <w:p>
      <w:pPr>
        <w:ind w:right="20" w:firstLine="1304"/>
        <w:spacing w:after="0" w:line="261" w:lineRule="auto"/>
        <w:tabs>
          <w:tab w:leader="none" w:pos="1770"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Return of Company Property.</w:t>
      </w:r>
      <w:r>
        <w:rPr>
          <w:rFonts w:ascii="Arial" w:cs="Arial" w:eastAsia="Arial" w:hAnsi="Arial"/>
          <w:sz w:val="21"/>
          <w:szCs w:val="21"/>
          <w:color w:val="auto"/>
        </w:rPr>
        <w:t xml:space="preserve"> All documents, data, recordings, or other property, including, without limitation, smartphones, computers and other business equipment, whether tangible or intangible, including all information stored in electronic form, obtained or prepared by or for Employee and utilized by Employee in the course of his employment with the Company shall remain the exclusive property of the Company and Employee shall return all copies of such property upon any termination of his employment and as otherwise requested by the Company during the Term. Employee further agrees not to alter, delete or destroy any Company property, documents, records, data contained in any location, including but not limited to any information contained on any Company-provided computer or electronic device. Such devices shall not be wiped, scrubbed, or reset to original factory condition prior to surrender.</w:t>
      </w:r>
    </w:p>
    <w:p>
      <w:pPr>
        <w:spacing w:after="0" w:line="180" w:lineRule="exact"/>
        <w:rPr>
          <w:rFonts w:ascii="Arial" w:cs="Arial" w:eastAsia="Arial" w:hAnsi="Arial"/>
          <w:sz w:val="21"/>
          <w:szCs w:val="21"/>
          <w:color w:val="auto"/>
        </w:rPr>
      </w:pPr>
    </w:p>
    <w:p>
      <w:pPr>
        <w:ind w:right="20" w:firstLine="1304"/>
        <w:spacing w:after="0" w:line="291" w:lineRule="auto"/>
        <w:tabs>
          <w:tab w:leader="none" w:pos="1746"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xml:space="preserve"> Employee hereby agrees not to defame or disparage any of the Company Entities or any of their respective officers, directors, members, partners or employees (collectively, the “</w:t>
      </w:r>
      <w:r>
        <w:rPr>
          <w:rFonts w:ascii="Arial" w:cs="Arial" w:eastAsia="Arial" w:hAnsi="Arial"/>
          <w:sz w:val="19"/>
          <w:szCs w:val="19"/>
          <w:u w:val="single" w:color="auto"/>
          <w:color w:val="auto"/>
        </w:rPr>
        <w:t>Company Parties</w:t>
      </w:r>
      <w:r>
        <w:rPr>
          <w:rFonts w:ascii="Arial" w:cs="Arial" w:eastAsia="Arial" w:hAnsi="Arial"/>
          <w:sz w:val="19"/>
          <w:szCs w:val="19"/>
          <w:color w:val="auto"/>
        </w:rPr>
        <w:t xml:space="preserve">”), and to cooperate with the Company upon reasonable request, in refuting any defamatory or disparaging remarks by any third party made in respect of any of the Company Parties. Employee shall not, directly or indirectly, make (or cause to be made) any comment or statement, oral or written, including, without limitation, in the media or to the press or to any individual or entity, that could reasonably be expected to adversely affect the reputation of any of the Company Parties or the conduct of its, his or their business. The Company shall request that its directors and executive officers not defame or disparage Employee;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failure of any director, executive officer or employee of the Company to comply with such request shall in no way constitute a breach or violation of the Company’s obligations hereunder or otherwise subject the Company to any liability.</w:t>
      </w:r>
    </w:p>
    <w:p>
      <w:pPr>
        <w:spacing w:after="0" w:line="153" w:lineRule="exact"/>
        <w:rPr>
          <w:rFonts w:ascii="Arial" w:cs="Arial" w:eastAsia="Arial" w:hAnsi="Arial"/>
          <w:sz w:val="19"/>
          <w:szCs w:val="19"/>
          <w:color w:val="auto"/>
        </w:rPr>
      </w:pPr>
    </w:p>
    <w:p>
      <w:pPr>
        <w:ind w:right="1020" w:firstLine="1304"/>
        <w:spacing w:after="0" w:line="276" w:lineRule="auto"/>
        <w:tabs>
          <w:tab w:leader="none" w:pos="1782"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Cooperation.</w:t>
      </w:r>
      <w:r>
        <w:rPr>
          <w:rFonts w:ascii="Arial" w:cs="Arial" w:eastAsia="Arial" w:hAnsi="Arial"/>
          <w:sz w:val="22"/>
          <w:szCs w:val="22"/>
          <w:color w:val="auto"/>
        </w:rPr>
        <w:t xml:space="preserve"> During the Term and thereafter (including, without limitation, following the Date of Termination), Employee shall, upon reasonable notice and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604" w:right="339" w:bottom="1440" w:gutter="0" w:footer="0" w:header="0"/>
        </w:sectPr>
      </w:pPr>
    </w:p>
    <w:bookmarkStart w:id="47" w:name="page48"/>
    <w:bookmarkEnd w:id="47"/>
    <w:p>
      <w:pPr>
        <w:spacing w:after="0" w:line="290" w:lineRule="auto"/>
        <w:rPr>
          <w:sz w:val="20"/>
          <w:szCs w:val="20"/>
          <w:color w:val="auto"/>
        </w:rPr>
      </w:pPr>
      <w:r>
        <w:rPr>
          <w:rFonts w:ascii="Arial" w:cs="Arial" w:eastAsia="Arial" w:hAnsi="Arial"/>
          <w:sz w:val="19"/>
          <w:szCs w:val="19"/>
          <w:color w:val="auto"/>
        </w:rPr>
        <w:t>without the necessity of any Company Entity obtaining a subpoena or court order, provide Employee’s reasonable cooperation in connection with any suit, action or proceeding (or any appeal from any suit, action or proceeding), and any investigation and/or defense of any claims asserted against any Company Entity that relates to events occurring during Employee’s employment with any Company Entity as to which Employee may have relevant information (including furnishing relevant information and materials to the relevant Company Entity or its designee and/or providing testimony at depositions and at trial), provided that the Company shall reimburse Employee for expenses reasonably incurred in connection with any such cooperation occurring after the termination of Employee’s employment and provided that any such cooperation occurring after the Date of Termination shall be scheduled to the extent reasonably practicable so as not to unreasonably interfere with Employee’s business or personal affairs.</w:t>
      </w:r>
    </w:p>
    <w:p>
      <w:pPr>
        <w:spacing w:after="0" w:line="156" w:lineRule="exact"/>
        <w:rPr>
          <w:sz w:val="20"/>
          <w:szCs w:val="20"/>
          <w:color w:val="auto"/>
        </w:rPr>
      </w:pPr>
    </w:p>
    <w:p>
      <w:pPr>
        <w:ind w:right="20" w:firstLine="1304"/>
        <w:spacing w:after="0" w:line="270" w:lineRule="auto"/>
        <w:tabs>
          <w:tab w:leader="none" w:pos="1692"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Notification of Subsequent Employer.</w:t>
      </w:r>
      <w:r>
        <w:rPr>
          <w:rFonts w:ascii="Arial" w:cs="Arial" w:eastAsia="Arial" w:hAnsi="Arial"/>
          <w:sz w:val="21"/>
          <w:szCs w:val="21"/>
          <w:color w:val="auto"/>
        </w:rPr>
        <w:t xml:space="preserve"> Employee hereby agrees that, prior to accepting employment with any other person during any period during which Employee remains subject to any of the covenants set forth in Section 7, 8(b) or 8(c) of this Agreement, Employee shall provide such prospective employer with written notice of such provisions of this Agreement, with a copy of such notice delivered simultaneously to the Company.</w:t>
      </w:r>
    </w:p>
    <w:p>
      <w:pPr>
        <w:spacing w:after="0" w:line="168" w:lineRule="exact"/>
        <w:rPr>
          <w:rFonts w:ascii="Arial" w:cs="Arial" w:eastAsia="Arial" w:hAnsi="Arial"/>
          <w:sz w:val="21"/>
          <w:szCs w:val="21"/>
          <w:color w:val="auto"/>
        </w:rPr>
      </w:pPr>
    </w:p>
    <w:p>
      <w:pPr>
        <w:ind w:right="40" w:firstLine="1304"/>
        <w:spacing w:after="0" w:line="287" w:lineRule="auto"/>
        <w:tabs>
          <w:tab w:leader="none" w:pos="180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Injunctive Relief.</w:t>
      </w:r>
      <w:r>
        <w:rPr>
          <w:rFonts w:ascii="Arial" w:cs="Arial" w:eastAsia="Arial" w:hAnsi="Arial"/>
          <w:sz w:val="19"/>
          <w:szCs w:val="19"/>
          <w:color w:val="auto"/>
        </w:rPr>
        <w:t xml:space="preserve"> Employee and the Company agree that Employee will occupy a high-level and unique position of trust and confidence with the Company Entities and will have access to their Confidential Information, and that the Company would likely suffer significant harm to its protectable confidential information and business goodwill from Employee’s breach of any of the covenants set forth in Sections 7 and 8. Employee acknowledges that it is impossible to measure in money the damages that will accrue to the Company Parties in the event that Employee breaches any of the restrictive covenants provided in Sections 7 and 8 of this Agreement. In the event that Employee breaches any such restrictive covenant, the Company Parties shall be entitled to an injunction restraining Employee from violating such restrictive covenant (without posting any bond). If any of the Company Parties shall institute any action or proceeding to enforce any such restrictive covenant, Employee hereby waives the claim or defense that such Company Party has an adequate remedy at law and agrees not to assert in any such action or proceeding the claim or defense that there is an adequate remedy at law. The foregoing shall not prejudice the Company’s right to require Employee to account for and pay over to the Company, and Employee hereby agrees to account for and pay over, the compensation, profits, monies, accruals or other benefits derived or received by Employee as a result of any transaction constituting a breach of any of the restrictive covenants provided in Sections 7 and 8 of this Agreement or to seek any other relief to which it may be entitled.</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ind w:right="20" w:firstLine="1304"/>
        <w:spacing w:after="0" w:line="251" w:lineRule="auto"/>
        <w:tabs>
          <w:tab w:leader="none" w:pos="1792"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xml:space="preserve"> (a)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Any notice or other communication required or permitted under this Agreement shall be effective only if it is in writing and shall be deemed to be given when delivered personally, or four days after it is mailed by registered or certified mail, postage prepaid, return receipt requested or one day after it is sent by overnight courier service via UPS or FedEx and, in each case, addressed as follows (or if it is sent through any other method agreed upon by the parties):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604" w:right="339" w:bottom="1440" w:gutter="0" w:footer="0" w:header="0"/>
        </w:sectPr>
      </w:pPr>
    </w:p>
    <w:bookmarkStart w:id="48" w:name="page49"/>
    <w:bookmarkEnd w:id="48"/>
    <w:p>
      <w:pPr>
        <w:ind w:left="1300"/>
        <w:spacing w:after="0"/>
        <w:rPr>
          <w:sz w:val="20"/>
          <w:szCs w:val="20"/>
          <w:color w:val="auto"/>
        </w:rPr>
      </w:pPr>
      <w:r>
        <w:rPr>
          <w:rFonts w:ascii="Arial" w:cs="Arial" w:eastAsia="Arial" w:hAnsi="Arial"/>
          <w:sz w:val="22"/>
          <w:szCs w:val="22"/>
          <w:color w:val="auto"/>
        </w:rPr>
        <w:t>If to the Company, to each of:</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XPO Logistics,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Five American Lane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Greenwich, CT 06831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Chief Human Resources Officer</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Employee:</w:t>
      </w:r>
    </w:p>
    <w:p>
      <w:pPr>
        <w:spacing w:after="0" w:line="220" w:lineRule="exact"/>
        <w:rPr>
          <w:sz w:val="20"/>
          <w:szCs w:val="20"/>
          <w:color w:val="auto"/>
        </w:rPr>
      </w:pPr>
    </w:p>
    <w:p>
      <w:pPr>
        <w:ind w:right="2780" w:firstLine="1296"/>
        <w:spacing w:after="0" w:line="448" w:lineRule="auto"/>
        <w:rPr>
          <w:sz w:val="20"/>
          <w:szCs w:val="20"/>
          <w:color w:val="auto"/>
        </w:rPr>
      </w:pPr>
      <w:r>
        <w:rPr>
          <w:rFonts w:ascii="Arial" w:cs="Arial" w:eastAsia="Arial" w:hAnsi="Arial"/>
          <w:sz w:val="22"/>
          <w:szCs w:val="22"/>
          <w:color w:val="auto"/>
        </w:rPr>
        <w:t>During the Term, to his principal residence as listed in the records of the Company or to such other address as any party may designate by notice to the other.</w:t>
      </w:r>
    </w:p>
    <w:p>
      <w:pPr>
        <w:spacing w:after="0" w:line="1" w:lineRule="exact"/>
        <w:rPr>
          <w:sz w:val="20"/>
          <w:szCs w:val="20"/>
          <w:color w:val="auto"/>
        </w:rPr>
      </w:pPr>
    </w:p>
    <w:p>
      <w:pPr>
        <w:ind w:right="120" w:firstLine="1304"/>
        <w:spacing w:after="0" w:line="292" w:lineRule="auto"/>
        <w:tabs>
          <w:tab w:leader="none" w:pos="1782"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This Agreement shall constitute the entire agreement and understanding among the parties hereto with respect to Employee’s employment hereunder and supersedes and is in full substitution for any and all prior understandings or agreements (whether written or oral) with respect to Employee’s employment including without limitation the Prior Agreement. The Company does not make and has not made, and Employee does not rely and has not relied on any statement, omission, representation or warranty, written or oral, of any kind or nature whatsoever, regarding the Company or the Equity Compensation, including, without limitation, its or their present, future, prospective or potential value, worth, prospects, performance, soundness, profit or loss potential, or any other matter or thing whatsoever relating to whether Employee should purchase or accept any Equity Compensation and/or the consideration therefor.</w:t>
      </w:r>
    </w:p>
    <w:p>
      <w:pPr>
        <w:spacing w:after="0" w:line="154" w:lineRule="exact"/>
        <w:rPr>
          <w:rFonts w:ascii="Arial" w:cs="Arial" w:eastAsia="Arial" w:hAnsi="Arial"/>
          <w:sz w:val="19"/>
          <w:szCs w:val="19"/>
          <w:color w:val="auto"/>
        </w:rPr>
      </w:pPr>
    </w:p>
    <w:p>
      <w:pPr>
        <w:ind w:firstLine="1304"/>
        <w:spacing w:after="0" w:line="289" w:lineRule="auto"/>
        <w:tabs>
          <w:tab w:leader="none" w:pos="177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Amendment; No Waiver.</w:t>
      </w:r>
      <w:r>
        <w:rPr>
          <w:rFonts w:ascii="Arial" w:cs="Arial" w:eastAsia="Arial" w:hAnsi="Arial"/>
          <w:sz w:val="19"/>
          <w:szCs w:val="19"/>
          <w:color w:val="auto"/>
        </w:rPr>
        <w:t xml:space="preserve"> Except as expressly set forth otherwise in this Agreement (including, without limitation, pursuant to Sections 11(l)(iv) and 11(m) of this Agreement), this Agreement may be amended only by an instrument in writing signed by the parties, and the application of any provision hereof may be waived only by an instrument in writing that specifically identifies the provision whose application is being waived and that is signed by the party against whom or which enforcement of such waiver is sought. The failure of any party at any time to insist upon strict adherence to any provision hereof shall in no way affect the full right to insist upon strict adherence at any time thereafter, nor shall the waiver by any party of a breach of any provision hereof be taken or held to be a waiver of any succeeding breach of such provision or a waiver of the provision itself or a waiver of any other provision of this Agreement. No failure or delay by either party in exercising any right or power hereunder will operate as a waiver thereof, nor will any single or partial exercise of any such right or power, or any abandonment of any steps to enforce such a right or power, preclude any other or further exercise thereof or the exercise of any other right or power. Termination of this Agreement shall not relieve any party of liability for any breach of this Agreement occurring prior to such termination.</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right="100" w:firstLine="1304"/>
        <w:spacing w:after="0" w:line="259" w:lineRule="auto"/>
        <w:tabs>
          <w:tab w:leader="none" w:pos="1782"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No Construction Against Drafter.</w:t>
      </w:r>
      <w:r>
        <w:rPr>
          <w:rFonts w:ascii="Arial" w:cs="Arial" w:eastAsia="Arial" w:hAnsi="Arial"/>
          <w:sz w:val="22"/>
          <w:szCs w:val="22"/>
          <w:color w:val="auto"/>
        </w:rPr>
        <w:t xml:space="preserve"> The parties acknowledge and agree that each party has reviewed and negotiated the terms and provisions of this Agreement and has had the opportunity to contribute to its revision. Accordingly, any rule of construction to the effect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604" w:right="359" w:bottom="1440" w:gutter="0" w:footer="0" w:header="0"/>
        </w:sectPr>
      </w:pPr>
    </w:p>
    <w:bookmarkStart w:id="49" w:name="page50"/>
    <w:bookmarkEnd w:id="49"/>
    <w:p>
      <w:pPr>
        <w:spacing w:after="0"/>
        <w:rPr>
          <w:sz w:val="20"/>
          <w:szCs w:val="20"/>
          <w:color w:val="auto"/>
        </w:rPr>
      </w:pPr>
      <w:r>
        <w:rPr>
          <w:rFonts w:ascii="Arial" w:cs="Arial" w:eastAsia="Arial" w:hAnsi="Arial"/>
          <w:sz w:val="21"/>
          <w:szCs w:val="21"/>
          <w:color w:val="auto"/>
        </w:rPr>
        <w:t>that ambiguities are resolved against the drafting party shall not be employed in the interpretation of this Agreement.</w:t>
      </w:r>
    </w:p>
    <w:p>
      <w:pPr>
        <w:spacing w:after="0" w:line="231" w:lineRule="exact"/>
        <w:rPr>
          <w:sz w:val="20"/>
          <w:szCs w:val="20"/>
          <w:color w:val="auto"/>
        </w:rPr>
      </w:pPr>
    </w:p>
    <w:p>
      <w:pPr>
        <w:ind w:right="320" w:firstLine="1304"/>
        <w:spacing w:after="0" w:line="307" w:lineRule="auto"/>
        <w:tabs>
          <w:tab w:leader="none" w:pos="177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Clawbacks</w:t>
      </w:r>
      <w:r>
        <w:rPr>
          <w:rFonts w:ascii="Arial" w:cs="Arial" w:eastAsia="Arial" w:hAnsi="Arial"/>
          <w:sz w:val="19"/>
          <w:szCs w:val="19"/>
          <w:color w:val="auto"/>
        </w:rPr>
        <w:t>. Employee hereby acknowledges and agrees that, notwithstanding any provision of this Agreement to the contrary, Employee will be subject to any legally mandated policy relating to the recovery of compensation, solely to the extent that the Company is required to implement such policy pursuant to applicable law, whether pursuant to the Sarbanes-Oxley Act of 2002, the Dodd-Frank Wall Street Reform and Consumer Protection Act of 2010 or otherwise.</w:t>
      </w:r>
    </w:p>
    <w:p>
      <w:pPr>
        <w:spacing w:after="0" w:line="137" w:lineRule="exact"/>
        <w:rPr>
          <w:rFonts w:ascii="Arial" w:cs="Arial" w:eastAsia="Arial" w:hAnsi="Arial"/>
          <w:sz w:val="19"/>
          <w:szCs w:val="19"/>
          <w:color w:val="auto"/>
        </w:rPr>
      </w:pPr>
    </w:p>
    <w:p>
      <w:pPr>
        <w:ind w:firstLine="1304"/>
        <w:spacing w:after="0" w:line="284" w:lineRule="auto"/>
        <w:tabs>
          <w:tab w:leader="none" w:pos="1746"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Employee Representations and Acknowledgements.</w:t>
      </w:r>
      <w:r>
        <w:rPr>
          <w:rFonts w:ascii="Arial" w:cs="Arial" w:eastAsia="Arial" w:hAnsi="Arial"/>
          <w:sz w:val="19"/>
          <w:szCs w:val="19"/>
          <w:color w:val="auto"/>
        </w:rPr>
        <w:t xml:space="preserve"> Employee represents, warrants and covenants that as of the date that the Company and Employee have executed this Agreement as set forth on the signature page hereto: (i) he has the full right, authority and capacity to enter into this Agreement, (ii) he is ready, willing and able to perform his obligations hereunder and, to his knowledge, no reason exists that would prevent him from performing his obligations hereunder, (iii) he has provided the Company true, correct and complete copies of any agreement to which he is subject containing non-competition, non-solicitation, non-disclosure or similar restrictions or covenants in favor of any prior employer or other party, (iv) he is not bound by any agreement that conflicts with or prevents or restricts the full performance of his duties and obligations to the Company hereunder during or after the Term, (v) the execution and delivery of this Agreement shall not result in any breach or violation of, or a default under, any existing obligation, commitment or agreement to which Employee is subject and (vi) he has searched for and deleted any emails, documents or files prepared, generated, obtained or used by Employee that contain any confidential or proprietary information of a prior employer. Employee acknowledges and agrees that nothing in this Agreement shall (x) entitle Employee to any compensation or other interest in respect of any activity of Jacobs Private Equity, LLC, a Delaware limited liability company (“</w:t>
      </w:r>
      <w:r>
        <w:rPr>
          <w:rFonts w:ascii="Arial" w:cs="Arial" w:eastAsia="Arial" w:hAnsi="Arial"/>
          <w:sz w:val="19"/>
          <w:szCs w:val="19"/>
          <w:u w:val="single" w:color="auto"/>
          <w:color w:val="auto"/>
        </w:rPr>
        <w:t>JPE</w:t>
      </w:r>
      <w:r>
        <w:rPr>
          <w:rFonts w:ascii="Arial" w:cs="Arial" w:eastAsia="Arial" w:hAnsi="Arial"/>
          <w:sz w:val="19"/>
          <w:szCs w:val="19"/>
          <w:color w:val="auto"/>
        </w:rPr>
        <w:t>”) or Bradley S. Jacobs other than with respect to the Company; (y) restrict or prohibit the Company, Bradley S. Jacobs or any of his affiliates from having business interests and engaging in business activities in addition to those relating to the Company; or (z) restrict the investments which the Company, Bradley S. Jacobs or JPE or any of his or its affiliates may make, regardless of whether such investment opportunity or investment may be deemed to be a Competitive Opportunity. Employee acknowledges that he has carefully read this Agreement and has given careful consideration to the restraints imposed upon Employee by this Agreement, and is in full accord as to the necessity of such restraints for the reasonable and proper protection of the Confidential Information, business strategies, employee and customer relationships and goodwill of the Company Entities now existing or to be developed in the future. Employee expressly acknowledges and agrees that each and every restraint imposed by this Agreement is reasonable with respect to subject matter, industry scope, time period and geographic area. Employee agrees to comply with each of the covenants contained in Sections 7 and 8 of this Agreement in accordance with their terms, and Employee shall not, and hereby agrees to waive and release any right or claim to, challenge the reasonableness, validity or enforceability of any of the covenants contained in Section 7 or 8 of this Agreement. Employee further acknowledges that although Employee’s compliance with the covenants contained in Sections 7 and 8 of this Agreement may prevent Employee from earning a livelihood in a business similar to the business of the Company Entities, Employee’s experience and capabilities are such that Employee has other opportunities to earn a livelihood and adequate means of support for Employee and Employee’s dependents. Employee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20"/>
          </w:cols>
          <w:pgMar w:left="320" w:top="604" w:right="359" w:bottom="1440" w:gutter="0" w:footer="0" w:header="0"/>
        </w:sectPr>
      </w:pPr>
    </w:p>
    <w:bookmarkStart w:id="50" w:name="page51"/>
    <w:bookmarkEnd w:id="50"/>
    <w:p>
      <w:pPr>
        <w:ind w:right="260"/>
        <w:spacing w:after="0" w:line="263" w:lineRule="auto"/>
        <w:rPr>
          <w:sz w:val="20"/>
          <w:szCs w:val="20"/>
          <w:color w:val="auto"/>
        </w:rPr>
      </w:pPr>
      <w:r>
        <w:rPr>
          <w:rFonts w:ascii="Arial" w:cs="Arial" w:eastAsia="Arial" w:hAnsi="Arial"/>
          <w:sz w:val="22"/>
          <w:szCs w:val="22"/>
          <w:color w:val="auto"/>
        </w:rPr>
        <w:t>acknowledges that the Company has advised him that it is in his best interest to consult with an attorney prior to executing this Agreement.</w:t>
      </w:r>
    </w:p>
    <w:p>
      <w:pPr>
        <w:spacing w:after="0" w:line="175" w:lineRule="exact"/>
        <w:rPr>
          <w:sz w:val="20"/>
          <w:szCs w:val="20"/>
          <w:color w:val="auto"/>
        </w:rPr>
      </w:pPr>
    </w:p>
    <w:p>
      <w:pPr>
        <w:jc w:val="both"/>
        <w:ind w:right="300" w:firstLine="1304"/>
        <w:spacing w:after="0" w:line="254" w:lineRule="auto"/>
        <w:tabs>
          <w:tab w:leader="none" w:pos="1782"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Employee’s obligations under Sections 7 and 8 of this Agreement shall remain in full force and effect for the entire period provided therein notwithstanding any termination of employment or other expiration of the Term or termination of this Agreement. The terms and conditions of Sections 6, 7, 8, 9, 10 and 11 of this Agreement shall survive the Term and termination of Employee’s employment.</w:t>
      </w:r>
    </w:p>
    <w:p>
      <w:pPr>
        <w:spacing w:after="0" w:line="184" w:lineRule="exact"/>
        <w:rPr>
          <w:rFonts w:ascii="Arial" w:cs="Arial" w:eastAsia="Arial" w:hAnsi="Arial"/>
          <w:sz w:val="22"/>
          <w:szCs w:val="22"/>
          <w:color w:val="auto"/>
        </w:rPr>
      </w:pPr>
    </w:p>
    <w:p>
      <w:pPr>
        <w:ind w:firstLine="1304"/>
        <w:spacing w:after="0" w:line="251" w:lineRule="auto"/>
        <w:tabs>
          <w:tab w:leader="none" w:pos="1782"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xml:space="preserve"> This Agreement is binding on and is for the benefit of the parties hereto and their respective successors, assigns, heirs, executors, administrators and other legal representatives. This Agreement is personal to Employee; and neither this Agreement nor any right or obligation hereunder may be assigned by Employee without the prior written consent of the Company (or except by will or the laws of descent and distribution), and any purported assignment in violation of this Section 11(h) shall be void.</w:t>
      </w:r>
    </w:p>
    <w:p>
      <w:pPr>
        <w:spacing w:after="0" w:line="189" w:lineRule="exact"/>
        <w:rPr>
          <w:rFonts w:ascii="Arial" w:cs="Arial" w:eastAsia="Arial" w:hAnsi="Arial"/>
          <w:sz w:val="22"/>
          <w:szCs w:val="22"/>
          <w:color w:val="auto"/>
        </w:rPr>
      </w:pPr>
    </w:p>
    <w:p>
      <w:pPr>
        <w:ind w:firstLine="1304"/>
        <w:spacing w:after="0" w:line="287" w:lineRule="auto"/>
        <w:tabs>
          <w:tab w:leader="none" w:pos="1734"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If any provision of this Agreement or the application thereof is held invalid, the invalidity shall not affect other provisions or applications of this Agreement which can be given effect without the invalid provisions or applications and to this end the provisions of this Agreement are declared to be severable. If any term or provision of this Agreement is invalid, illegal or incapable of being enforced by any applicable law or public policy, all other conditions and provisions of this Agreement shall nonetheless remain in full force and effect so long as the economic and legal substance of the transactions contemplated by this Agreement is not affected in any manner materially adverse;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of a final, non-reviewable, non-appealable determination that any provision of Section 7 or 8 of this Agreement (whether in whole or in part) is void or constitutes an unreasonable restriction against Employee, such provision shall not be rendered void but shall be deemed to be modified to the minimum extent necessary to make such provision enforceable for the longest duration and the greatest scope as may constitute a reasonable restriction under the circumstances. Subject to the foregoing,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ind w:right="40" w:firstLine="1304"/>
        <w:spacing w:after="0" w:line="254" w:lineRule="auto"/>
        <w:tabs>
          <w:tab w:leader="none" w:pos="1734"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xml:space="preserve"> The Company may withhold from any amounts payable to Employee hereunder all federal, state, city, foreign or other taxes that the Company may reasonably determine are required to be withheld pursuant to any applicable law or regulation (it being understood that Employee shall be responsible for payment of all taxes in respect of the payments and benefits provided herein).</w:t>
      </w:r>
    </w:p>
    <w:p>
      <w:pPr>
        <w:spacing w:after="0" w:line="184" w:lineRule="exact"/>
        <w:rPr>
          <w:rFonts w:ascii="Arial" w:cs="Arial" w:eastAsia="Arial" w:hAnsi="Arial"/>
          <w:sz w:val="22"/>
          <w:szCs w:val="22"/>
          <w:color w:val="auto"/>
        </w:rPr>
      </w:pPr>
    </w:p>
    <w:p>
      <w:pPr>
        <w:ind w:right="260" w:firstLine="1304"/>
        <w:spacing w:after="0" w:line="259" w:lineRule="auto"/>
        <w:tabs>
          <w:tab w:leader="none" w:pos="1782"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Cooperation Regarding Equity Compensation.</w:t>
      </w:r>
      <w:r>
        <w:rPr>
          <w:rFonts w:ascii="Arial" w:cs="Arial" w:eastAsia="Arial" w:hAnsi="Arial"/>
          <w:sz w:val="22"/>
          <w:szCs w:val="22"/>
          <w:color w:val="auto"/>
        </w:rPr>
        <w:t xml:space="preserve"> Employee expressly agrees that he shall execute such other documents as reasonably requested by the Company to effect the terms of this Agreement and the issuance of the Equity Compensation as contemplated hereunder in compliance with applicable law.</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604" w:right="359" w:bottom="1440" w:gutter="0" w:footer="0" w:header="0"/>
        </w:sectPr>
      </w:pPr>
    </w:p>
    <w:bookmarkStart w:id="51" w:name="page52"/>
    <w:bookmarkEnd w:id="51"/>
    <w:p>
      <w:pPr>
        <w:ind w:right="420" w:firstLine="1296"/>
        <w:spacing w:after="0" w:line="259" w:lineRule="auto"/>
        <w:rPr>
          <w:sz w:val="20"/>
          <w:szCs w:val="20"/>
          <w:color w:val="auto"/>
        </w:rPr>
      </w:pPr>
      <w:r>
        <w:rPr>
          <w:rFonts w:ascii="Arial" w:cs="Arial" w:eastAsia="Arial" w:hAnsi="Arial"/>
          <w:sz w:val="22"/>
          <w:szCs w:val="22"/>
          <w:color w:val="auto"/>
        </w:rPr>
        <w:t xml:space="preserve">(l) </w:t>
      </w:r>
      <w:r>
        <w:rPr>
          <w:rFonts w:ascii="Arial" w:cs="Arial" w:eastAsia="Arial" w:hAnsi="Arial"/>
          <w:sz w:val="22"/>
          <w:szCs w:val="22"/>
          <w:u w:val="single" w:color="auto"/>
          <w:color w:val="auto"/>
        </w:rPr>
        <w:t>Governing Law; Arbitration; Consent to Jurisdiction; Waiver of Jury Trial.</w:t>
      </w:r>
      <w:r>
        <w:rPr>
          <w:rFonts w:ascii="Arial" w:cs="Arial" w:eastAsia="Arial" w:hAnsi="Arial"/>
          <w:sz w:val="22"/>
          <w:szCs w:val="22"/>
          <w:color w:val="auto"/>
        </w:rPr>
        <w:t xml:space="preserve"> (i) This Agreement shall be governed by and construed in accordance with its express terms, and otherwise in accordance with the laws of the State of Delaware without reference to its principles of conflicts of law.</w:t>
      </w:r>
    </w:p>
    <w:p>
      <w:pPr>
        <w:spacing w:after="0" w:line="180" w:lineRule="exact"/>
        <w:rPr>
          <w:sz w:val="20"/>
          <w:szCs w:val="20"/>
          <w:color w:val="auto"/>
        </w:rPr>
      </w:pPr>
    </w:p>
    <w:p>
      <w:pPr>
        <w:ind w:firstLine="1304"/>
        <w:spacing w:after="0" w:line="307" w:lineRule="auto"/>
        <w:tabs>
          <w:tab w:leader="none" w:pos="1794"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Any claim initiated by Employee arising out of or relating to this Agreement, or the breach thereof, or Employee’s employment, or the termination thereof, shall be resolved by binding arbitration before a single arbitrator in the State of Delaware administered by the American Arbitration Association in accordance with its Commercial Arbitration Rules, and judgment on the award rendered by the arbitrator may be entered in any court having jurisdiction thereof.</w:t>
      </w:r>
    </w:p>
    <w:p>
      <w:pPr>
        <w:spacing w:after="0" w:line="137" w:lineRule="exact"/>
        <w:rPr>
          <w:rFonts w:ascii="Arial" w:cs="Arial" w:eastAsia="Arial" w:hAnsi="Arial"/>
          <w:sz w:val="19"/>
          <w:szCs w:val="19"/>
          <w:color w:val="auto"/>
        </w:rPr>
      </w:pPr>
    </w:p>
    <w:p>
      <w:pPr>
        <w:ind w:right="20" w:firstLine="1304"/>
        <w:spacing w:after="0" w:line="254" w:lineRule="auto"/>
        <w:tabs>
          <w:tab w:leader="none" w:pos="1854" w:val="left"/>
        </w:tabs>
        <w:numPr>
          <w:ilvl w:val="0"/>
          <w:numId w:val="39"/>
        </w:numPr>
        <w:rPr>
          <w:rFonts w:ascii="Arial" w:cs="Arial" w:eastAsia="Arial" w:hAnsi="Arial"/>
          <w:sz w:val="22"/>
          <w:szCs w:val="22"/>
          <w:color w:val="auto"/>
        </w:rPr>
      </w:pPr>
      <w:r>
        <w:rPr>
          <w:rFonts w:ascii="Arial" w:cs="Arial" w:eastAsia="Arial" w:hAnsi="Arial"/>
          <w:sz w:val="22"/>
          <w:szCs w:val="22"/>
          <w:color w:val="auto"/>
        </w:rPr>
        <w:t>Except the extent that the Company seeks injunctive relief pursuant to Section 10 of this Agreement, any claim initiated by the Company arising out of or relating to this Agreement, or the breach thereof, or Employee’s employment, or the termination thereof, shall, at the election of the Company be resolved in accordance with Section 11(l)(ii) or (iv) of this Agreement.</w:t>
      </w:r>
    </w:p>
    <w:p>
      <w:pPr>
        <w:spacing w:after="0" w:line="184" w:lineRule="exact"/>
        <w:rPr>
          <w:rFonts w:ascii="Arial" w:cs="Arial" w:eastAsia="Arial" w:hAnsi="Arial"/>
          <w:sz w:val="22"/>
          <w:szCs w:val="22"/>
          <w:color w:val="auto"/>
        </w:rPr>
      </w:pPr>
    </w:p>
    <w:p>
      <w:pPr>
        <w:ind w:right="40" w:firstLine="1304"/>
        <w:spacing w:after="0" w:line="287" w:lineRule="auto"/>
        <w:tabs>
          <w:tab w:leader="none" w:pos="1824"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Employee hereby irrevocably submits to the jurisdiction of any state or federal court located in the State of Delaware;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herein shall preclude the Company from bringing any suit, action or proceeding in any other court for the purposes of enforcing the provisions of this Section 11(l) or enforcing any judgment or award obtained by the Company. Employee waives, to the fullest extent permitted by applicable law, any objection which he now or hereafter has to personal jurisdiction or to the laying of venue of any such suit, action or proceeding brought in an applicable court described in this Section 11(l)(iv), and agrees that he shall not attempt to deny or defeat such personal jurisdiction by motion or other request for leave from any court. Employee agrees that, to the fullest extent permitted by applicable law, a final and non-appealable judgment in any suit, action or proceeding brought in any applicable court described in this Section 11(l)(iv) shall be conclusive and binding upon Employee and may be enforced in any other jurisdiction. EMPLOYEE EXPRESSLY AND KNOWINGLY WAIVES ANY RIGHT TO A JURY TRIAL IN THE EVENT THAT ANY ACTION ARISING OUT OF OR RELATING TO THIS AGREEMENT OR THE BREACH THEROF, OR EMPLOYEE’S EMPLOYMENT, OR THE TERMINATION THEREOF, IS LITIGATED OR HEARD IN ANY COURT.</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right="100" w:firstLine="1304"/>
        <w:spacing w:after="0" w:line="253" w:lineRule="auto"/>
        <w:tabs>
          <w:tab w:leader="none" w:pos="17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prevailing party shall be entitled to recover all legal fees and costs (including reasonable attorney’s fees and the fees of experts) from the losing party in connection with any claim arising under this Agreement or Employee’s employment hereunder.</w:t>
      </w:r>
    </w:p>
    <w:p>
      <w:pPr>
        <w:spacing w:after="0" w:line="185" w:lineRule="exact"/>
        <w:rPr>
          <w:sz w:val="20"/>
          <w:szCs w:val="20"/>
          <w:color w:val="auto"/>
        </w:rPr>
      </w:pPr>
    </w:p>
    <w:p>
      <w:pPr>
        <w:jc w:val="both"/>
        <w:ind w:right="160" w:firstLine="1304"/>
        <w:spacing w:after="0" w:line="259" w:lineRule="auto"/>
        <w:tabs>
          <w:tab w:leader="none" w:pos="1842"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xml:space="preserve"> (i) It is intended that the provisions of this Agreement comply with Section 409A, and all provisions of this Agreement shall be construed and interpreted in a manner consistent with the requirements for avoiding taxes or penalties under Section 409A.</w:t>
      </w:r>
    </w:p>
    <w:p>
      <w:pPr>
        <w:spacing w:after="0" w:line="180" w:lineRule="exact"/>
        <w:rPr>
          <w:sz w:val="20"/>
          <w:szCs w:val="20"/>
          <w:color w:val="auto"/>
        </w:rPr>
      </w:pPr>
    </w:p>
    <w:p>
      <w:pPr>
        <w:jc w:val="both"/>
        <w:ind w:left="660" w:right="600" w:firstLine="644"/>
        <w:spacing w:after="0" w:line="259" w:lineRule="auto"/>
        <w:tabs>
          <w:tab w:leader="none" w:pos="1806" w:val="left"/>
        </w:tabs>
        <w:numPr>
          <w:ilvl w:val="0"/>
          <w:numId w:val="41"/>
        </w:numPr>
        <w:rPr>
          <w:rFonts w:ascii="Arial" w:cs="Arial" w:eastAsia="Arial" w:hAnsi="Arial"/>
          <w:sz w:val="22"/>
          <w:szCs w:val="22"/>
          <w:color w:val="auto"/>
        </w:rPr>
      </w:pPr>
      <w:r>
        <w:rPr>
          <w:rFonts w:ascii="Arial" w:cs="Arial" w:eastAsia="Arial" w:hAnsi="Arial"/>
          <w:sz w:val="22"/>
          <w:szCs w:val="22"/>
          <w:color w:val="auto"/>
        </w:rPr>
        <w:t>Neither Employee nor any of his creditors or beneficiaries shall have the right to subject any deferred compensation (within the meaning of Section 409A) payable under this Agreement or under any other plan, policy, arrangement or agreement of or</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00"/>
          </w:cols>
          <w:pgMar w:left="320" w:top="604" w:right="379" w:bottom="1440" w:gutter="0" w:footer="0" w:header="0"/>
        </w:sectPr>
      </w:pPr>
    </w:p>
    <w:bookmarkStart w:id="52" w:name="page53"/>
    <w:bookmarkEnd w:id="52"/>
    <w:p>
      <w:pPr>
        <w:ind w:right="20"/>
        <w:spacing w:after="0" w:line="263" w:lineRule="auto"/>
        <w:rPr>
          <w:sz w:val="20"/>
          <w:szCs w:val="20"/>
          <w:color w:val="auto"/>
        </w:rPr>
      </w:pPr>
      <w:r>
        <w:rPr>
          <w:rFonts w:ascii="Arial" w:cs="Arial" w:eastAsia="Arial" w:hAnsi="Arial"/>
          <w:sz w:val="21"/>
          <w:szCs w:val="21"/>
          <w:color w:val="auto"/>
        </w:rPr>
        <w:t>with the Company or any of its affiliates (this Agreement and such other plans, policies, arrangements and agreements, the “</w:t>
      </w:r>
      <w:r>
        <w:rPr>
          <w:rFonts w:ascii="Arial" w:cs="Arial" w:eastAsia="Arial" w:hAnsi="Arial"/>
          <w:sz w:val="21"/>
          <w:szCs w:val="21"/>
          <w:u w:val="single" w:color="auto"/>
          <w:color w:val="auto"/>
        </w:rPr>
        <w:t>Company Plans</w:t>
      </w:r>
      <w:r>
        <w:rPr>
          <w:rFonts w:ascii="Arial" w:cs="Arial" w:eastAsia="Arial" w:hAnsi="Arial"/>
          <w:sz w:val="21"/>
          <w:szCs w:val="21"/>
          <w:color w:val="auto"/>
        </w:rPr>
        <w:t>”) to any anticipation, alienation, sale, transfer, assignment, pledge, encumbrance, attachment or garnishment. Except as permitted under Section 409A, any deferred compensation (within the meaning of Section 409A) payable to Employee or for Employee’s benefit under any Company Plan may not be reduced by, or offset against, any amount owing by Employee to the Company or any of its affiliates.</w:t>
      </w:r>
    </w:p>
    <w:p>
      <w:pPr>
        <w:spacing w:after="0" w:line="175" w:lineRule="exact"/>
        <w:rPr>
          <w:sz w:val="20"/>
          <w:szCs w:val="20"/>
          <w:color w:val="auto"/>
        </w:rPr>
      </w:pPr>
    </w:p>
    <w:p>
      <w:pPr>
        <w:ind w:right="20" w:firstLine="644"/>
        <w:spacing w:after="0" w:line="289" w:lineRule="auto"/>
        <w:tabs>
          <w:tab w:leader="none" w:pos="1206" w:val="left"/>
        </w:tabs>
        <w:numPr>
          <w:ilvl w:val="0"/>
          <w:numId w:val="42"/>
        </w:numPr>
        <w:rPr>
          <w:rFonts w:ascii="Arial" w:cs="Arial" w:eastAsia="Arial" w:hAnsi="Arial"/>
          <w:sz w:val="19"/>
          <w:szCs w:val="19"/>
          <w:color w:val="auto"/>
        </w:rPr>
      </w:pPr>
      <w:r>
        <w:rPr>
          <w:rFonts w:ascii="Arial" w:cs="Arial" w:eastAsia="Arial" w:hAnsi="Arial"/>
          <w:sz w:val="19"/>
          <w:szCs w:val="19"/>
          <w:color w:val="auto"/>
        </w:rPr>
        <w:t>If, at the time of Employee’s separation from service (within the meaning of Section 409A), (i) Employee shall be a specified employee (within the meaning of Section 409A and using the identification methodology selected by the Company from time to time) and (ii) the Company shall make a good faith determination that an amount payable under a Company Plan constitutes deferred compensation (within the meaning of Section 409A) the payment of which is required to be delayed pursuant to the six-month delay rule set forth in Section 409A in order to avoid taxes or penalties under Section 409A, then the Company (or its affiliate, as applicable) shall not pay such amount on the otherwise scheduled payment date but shall instead accumulate such amount and pay it on the first business day after such six-month period. To the extent required in order to avoid accelerated taxation and/or tax penalties under Section 409A, Employee shall not be considered to have terminated employment with the Company for purposes of this Agreement and no payment shall be due to Employee under this Agreement until Employee would be considered to have incurred a “separation from service” from the Company within the meaning of Section 409A.</w:t>
      </w:r>
    </w:p>
    <w:p>
      <w:pPr>
        <w:spacing w:after="0" w:line="156" w:lineRule="exact"/>
        <w:rPr>
          <w:rFonts w:ascii="Arial" w:cs="Arial" w:eastAsia="Arial" w:hAnsi="Arial"/>
          <w:sz w:val="19"/>
          <w:szCs w:val="19"/>
          <w:color w:val="auto"/>
        </w:rPr>
      </w:pPr>
    </w:p>
    <w:p>
      <w:pPr>
        <w:ind w:firstLine="644"/>
        <w:spacing w:after="0" w:line="294" w:lineRule="auto"/>
        <w:tabs>
          <w:tab w:leader="none" w:pos="1194" w:val="left"/>
        </w:tabs>
        <w:numPr>
          <w:ilvl w:val="0"/>
          <w:numId w:val="42"/>
        </w:numPr>
        <w:rPr>
          <w:rFonts w:ascii="Arial" w:cs="Arial" w:eastAsia="Arial" w:hAnsi="Arial"/>
          <w:sz w:val="19"/>
          <w:szCs w:val="19"/>
          <w:color w:val="auto"/>
        </w:rPr>
      </w:pPr>
      <w:r>
        <w:rPr>
          <w:rFonts w:ascii="Arial" w:cs="Arial" w:eastAsia="Arial" w:hAnsi="Arial"/>
          <w:sz w:val="19"/>
          <w:szCs w:val="19"/>
          <w:color w:val="auto"/>
        </w:rPr>
        <w:t>Notwithstanding any provision of this Agreement or any Company Plan to the contrary, in light of the uncertainty with respect to the proper application of Section 409A, the Company reserves the right to make amendments to any Company Plan as the Company deems necessary or desirable to avoid the imposition of taxes or penalties under Section 409A. In any case, Employee is solely responsible and liable for the satisfaction of all taxes and penalties that may be imposed on Employee or for Employee’s account in connection with any Company Plan (including any taxes and penalties under Section 409A), and neither the Company nor any affiliate shall have any obligation to indemnify or otherwise hold Employee harmless from any or all of such taxes or penalties.</w:t>
      </w:r>
    </w:p>
    <w:p>
      <w:pPr>
        <w:spacing w:after="0" w:line="151" w:lineRule="exact"/>
        <w:rPr>
          <w:rFonts w:ascii="Arial" w:cs="Arial" w:eastAsia="Arial" w:hAnsi="Arial"/>
          <w:sz w:val="19"/>
          <w:szCs w:val="19"/>
          <w:color w:val="auto"/>
        </w:rPr>
      </w:pPr>
    </w:p>
    <w:p>
      <w:pPr>
        <w:ind w:right="740" w:firstLine="644"/>
        <w:spacing w:after="0" w:line="276" w:lineRule="auto"/>
        <w:tabs>
          <w:tab w:leader="none" w:pos="1134" w:val="left"/>
        </w:tabs>
        <w:numPr>
          <w:ilvl w:val="0"/>
          <w:numId w:val="42"/>
        </w:numPr>
        <w:rPr>
          <w:rFonts w:ascii="Arial" w:cs="Arial" w:eastAsia="Arial" w:hAnsi="Arial"/>
          <w:sz w:val="22"/>
          <w:szCs w:val="22"/>
          <w:color w:val="auto"/>
        </w:rPr>
      </w:pPr>
      <w:r>
        <w:rPr>
          <w:rFonts w:ascii="Arial" w:cs="Arial" w:eastAsia="Arial" w:hAnsi="Arial"/>
          <w:sz w:val="22"/>
          <w:szCs w:val="22"/>
          <w:color w:val="auto"/>
        </w:rPr>
        <w:t>For purposes of Section 409A, each payment hereunder will be deemed to be a separate payment as permitted under Treasury Regulation Section 1.409A-2(b)(2)(iii).</w:t>
      </w:r>
    </w:p>
    <w:p>
      <w:pPr>
        <w:spacing w:after="0" w:line="160" w:lineRule="exact"/>
        <w:rPr>
          <w:rFonts w:ascii="Arial" w:cs="Arial" w:eastAsia="Arial" w:hAnsi="Arial"/>
          <w:sz w:val="22"/>
          <w:szCs w:val="22"/>
          <w:color w:val="auto"/>
        </w:rPr>
      </w:pPr>
    </w:p>
    <w:p>
      <w:pPr>
        <w:ind w:right="20" w:firstLine="644"/>
        <w:spacing w:after="0" w:line="297" w:lineRule="auto"/>
        <w:tabs>
          <w:tab w:leader="none" w:pos="1194" w:val="left"/>
        </w:tabs>
        <w:numPr>
          <w:ilvl w:val="0"/>
          <w:numId w:val="42"/>
        </w:numPr>
        <w:rPr>
          <w:rFonts w:ascii="Arial" w:cs="Arial" w:eastAsia="Arial" w:hAnsi="Arial"/>
          <w:sz w:val="19"/>
          <w:szCs w:val="19"/>
          <w:color w:val="auto"/>
        </w:rPr>
      </w:pPr>
      <w:r>
        <w:rPr>
          <w:rFonts w:ascii="Arial" w:cs="Arial" w:eastAsia="Arial" w:hAnsi="Arial"/>
          <w:sz w:val="19"/>
          <w:szCs w:val="19"/>
          <w:color w:val="auto"/>
        </w:rPr>
        <w:t>Except as specifically permitted by Section 409A, any benefits and reimbursements provided to Employee under this Agreement during any calendar year shall not affect any benefits and reimbursements to be provided to Employee under this Agreement in any other calendar year, and the right to such benefits and reimbursements cannot be liquidated or exchanged for any other benefit. Furthermore, reimbursement payments shall be made to Employee as soon as practicable following the date that the applicable expense is incurred, but in no event later than the last day of the calendar year following the calendar year in which the underlying expense is incurred.</w:t>
      </w:r>
    </w:p>
    <w:p>
      <w:pPr>
        <w:spacing w:after="0" w:line="36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480"/>
          </w:cols>
          <w:pgMar w:left="980" w:top="604" w:right="439" w:bottom="1440" w:gutter="0" w:footer="0" w:header="0"/>
        </w:sectPr>
      </w:pPr>
    </w:p>
    <w:bookmarkStart w:id="53" w:name="page54"/>
    <w:bookmarkEnd w:id="53"/>
    <w:p>
      <w:pPr>
        <w:jc w:val="both"/>
        <w:ind w:left="-160" w:firstLine="1304"/>
        <w:spacing w:after="0" w:line="307" w:lineRule="auto"/>
        <w:tabs>
          <w:tab w:leader="none" w:pos="1622"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Section 105(h)</w:t>
      </w:r>
      <w:r>
        <w:rPr>
          <w:rFonts w:ascii="Arial" w:cs="Arial" w:eastAsia="Arial" w:hAnsi="Arial"/>
          <w:sz w:val="19"/>
          <w:szCs w:val="19"/>
          <w:color w:val="auto"/>
        </w:rPr>
        <w:t>. Notwithstanding any provision of this Agreement to the contrary, to the extent necessary to satisfy Section 105(h) of the Code, the Company will be permitted to alter the manner in which medical benefits are provided to Employee following termination of Employee’s employment, provided that the after-tax cost to Employee of such benefits shall not be greater than the cost applicable to similarly situated executives of the Company who have not terminated employment.</w:t>
      </w:r>
    </w:p>
    <w:p>
      <w:pPr>
        <w:spacing w:after="0" w:line="137" w:lineRule="exact"/>
        <w:rPr>
          <w:rFonts w:ascii="Arial" w:cs="Arial" w:eastAsia="Arial" w:hAnsi="Arial"/>
          <w:sz w:val="19"/>
          <w:szCs w:val="19"/>
          <w:color w:val="auto"/>
        </w:rPr>
      </w:pPr>
    </w:p>
    <w:p>
      <w:pPr>
        <w:ind w:left="-160" w:right="140" w:firstLine="1304"/>
        <w:spacing w:after="0" w:line="259" w:lineRule="auto"/>
        <w:tabs>
          <w:tab w:leader="none" w:pos="1622"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Agreement may be executed in several counterparts, each of which shall be deemed an original, but all of which shall constitute one and the same instrument. Signatures delivered by facsimile or electronic means (including by “pdf”) shall be deemed effective for all purposes.</w:t>
      </w:r>
    </w:p>
    <w:p>
      <w:pPr>
        <w:spacing w:after="0" w:line="180" w:lineRule="exact"/>
        <w:rPr>
          <w:rFonts w:ascii="Arial" w:cs="Arial" w:eastAsia="Arial" w:hAnsi="Arial"/>
          <w:sz w:val="22"/>
          <w:szCs w:val="22"/>
          <w:color w:val="auto"/>
        </w:rPr>
      </w:pPr>
    </w:p>
    <w:p>
      <w:pPr>
        <w:ind w:left="-160" w:right="20" w:firstLine="1304"/>
        <w:spacing w:after="0" w:line="276" w:lineRule="auto"/>
        <w:tabs>
          <w:tab w:leader="none" w:pos="1622"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xml:space="preserve"> The headings in this Agreement are inserted for convenience of reference only and shall not be a part of or control or affect the meaning of any provision hereof.</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920"/>
          </w:cols>
          <w:pgMar w:left="480" w:top="604" w:right="499" w:bottom="1440" w:gutter="0" w:footer="0" w:header="0"/>
        </w:sectPr>
      </w:pPr>
    </w:p>
    <w:bookmarkStart w:id="54" w:name="page55"/>
    <w:bookmarkEnd w:id="54"/>
    <w:p>
      <w:pPr>
        <w:ind w:left="180"/>
        <w:spacing w:after="0"/>
        <w:rPr>
          <w:sz w:val="20"/>
          <w:szCs w:val="20"/>
          <w:color w:val="auto"/>
        </w:rPr>
      </w:pPr>
      <w:r>
        <w:rPr>
          <w:rFonts w:ascii="Arial" w:cs="Arial" w:eastAsia="Arial" w:hAnsi="Arial"/>
          <w:sz w:val="19"/>
          <w:szCs w:val="19"/>
          <w:color w:val="auto"/>
        </w:rPr>
        <w:t>IN WITNESS WHEREOF, the parties hereto have executed this Agreement as of the date first written above.</w:t>
      </w:r>
    </w:p>
    <w:p>
      <w:pPr>
        <w:sectPr>
          <w:pgSz w:w="11900" w:h="16838" w:orient="portrait"/>
          <w:cols w:equalWidth="0" w:num="1">
            <w:col w:w="9640"/>
          </w:cols>
          <w:pgMar w:left="1440" w:top="604" w:right="81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XPO LOGISTICS, INC.</w:t>
      </w:r>
    </w:p>
    <w:p>
      <w:pPr>
        <w:spacing w:after="0" w:line="200" w:lineRule="exact"/>
        <w:rPr>
          <w:sz w:val="20"/>
          <w:szCs w:val="20"/>
          <w:color w:val="auto"/>
        </w:rPr>
      </w:pPr>
    </w:p>
    <w:p>
      <w:pPr>
        <w:spacing w:after="0" w:line="249"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/s/ Meghan 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24130</wp:posOffset>
            </wp:positionV>
            <wp:extent cx="19030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8"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Meghan Henson</w:t>
      </w:r>
    </w:p>
    <w:p>
      <w:pPr>
        <w:spacing w:after="0" w:line="43" w:lineRule="exact"/>
        <w:rPr>
          <w:sz w:val="20"/>
          <w:szCs w:val="20"/>
          <w:color w:val="auto"/>
        </w:rPr>
      </w:pPr>
    </w:p>
    <w:p>
      <w:pPr>
        <w:ind w:left="3540"/>
        <w:spacing w:after="0"/>
        <w:rPr>
          <w:sz w:val="20"/>
          <w:szCs w:val="20"/>
          <w:color w:val="auto"/>
        </w:rPr>
      </w:pPr>
      <w:r>
        <w:rPr>
          <w:rFonts w:ascii="Arial" w:cs="Arial" w:eastAsia="Arial" w:hAnsi="Arial"/>
          <w:sz w:val="19"/>
          <w:szCs w:val="19"/>
          <w:color w:val="auto"/>
        </w:rPr>
        <w:t>Chief Human Resources</w:t>
      </w:r>
    </w:p>
    <w:p>
      <w:pPr>
        <w:spacing w:after="0" w:line="25"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/s/ Kurt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24130</wp:posOffset>
            </wp:positionV>
            <wp:extent cx="17399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38"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Kurt Rogers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[Signature Page]</w:t>
      </w:r>
    </w:p>
    <w:p>
      <w:pPr>
        <w:sectPr>
          <w:pgSz w:w="11900" w:h="16838" w:orient="portrait"/>
          <w:cols w:equalWidth="0" w:num="1">
            <w:col w:w="9640"/>
          </w:cols>
          <w:pgMar w:left="1440" w:top="604" w:right="819" w:bottom="1440" w:gutter="0" w:footer="0" w:header="0"/>
          <w:type w:val="continuous"/>
        </w:sectPr>
      </w:pPr>
    </w:p>
    <w:bookmarkStart w:id="55" w:name="page56"/>
    <w:bookmarkEnd w:id="55"/>
    <w:tbl>
      <w:tblPr>
        <w:tblLayout w:type="fixed"/>
        <w:tblInd w:w="10" w:type="dxa"/>
        <w:tblCellMar>
          <w:top w:w="0" w:type="dxa"/>
          <w:left w:w="0" w:type="dxa"/>
          <w:bottom w:w="0" w:type="dxa"/>
          <w:right w:w="0" w:type="dxa"/>
        </w:tblCellMar>
      </w:tblPr>
      <w:tr>
        <w:trPr>
          <w:trHeight w:val="274"/>
        </w:trPr>
        <w:tc>
          <w:tcPr>
            <w:tcW w:w="2400" w:type="dxa"/>
            <w:vAlign w:val="bottom"/>
          </w:tcPr>
          <w:p>
            <w:pPr>
              <w:spacing w:after="0"/>
              <w:rPr>
                <w:sz w:val="23"/>
                <w:szCs w:val="23"/>
                <w:color w:val="auto"/>
              </w:rPr>
            </w:pPr>
          </w:p>
        </w:tc>
        <w:tc>
          <w:tcPr>
            <w:tcW w:w="8860" w:type="dxa"/>
            <w:vAlign w:val="bottom"/>
          </w:tcPr>
          <w:p>
            <w:pPr>
              <w:jc w:val="center"/>
              <w:ind w:right="2313"/>
              <w:spacing w:after="0"/>
              <w:rPr>
                <w:sz w:val="20"/>
                <w:szCs w:val="20"/>
                <w:color w:val="auto"/>
              </w:rPr>
            </w:pPr>
            <w:r>
              <w:rPr>
                <w:rFonts w:ascii="Arial" w:cs="Arial" w:eastAsia="Arial" w:hAnsi="Arial"/>
                <w:sz w:val="22"/>
                <w:szCs w:val="22"/>
                <w:color w:val="auto"/>
              </w:rPr>
              <w:t>EXHIBIT A</w:t>
            </w:r>
          </w:p>
        </w:tc>
      </w:tr>
      <w:tr>
        <w:trPr>
          <w:trHeight w:val="513"/>
        </w:trPr>
        <w:tc>
          <w:tcPr>
            <w:tcW w:w="2400" w:type="dxa"/>
            <w:vAlign w:val="bottom"/>
          </w:tcPr>
          <w:p>
            <w:pPr>
              <w:spacing w:after="0"/>
              <w:rPr>
                <w:sz w:val="24"/>
                <w:szCs w:val="24"/>
                <w:color w:val="auto"/>
              </w:rPr>
            </w:pPr>
          </w:p>
        </w:tc>
        <w:tc>
          <w:tcPr>
            <w:tcW w:w="8860" w:type="dxa"/>
            <w:vAlign w:val="bottom"/>
          </w:tcPr>
          <w:p>
            <w:pPr>
              <w:jc w:val="center"/>
              <w:ind w:right="2293"/>
              <w:spacing w:after="0"/>
              <w:rPr>
                <w:sz w:val="20"/>
                <w:szCs w:val="20"/>
                <w:color w:val="auto"/>
              </w:rPr>
            </w:pPr>
            <w:r>
              <w:rPr>
                <w:rFonts w:ascii="Arial" w:cs="Arial" w:eastAsia="Arial" w:hAnsi="Arial"/>
                <w:sz w:val="22"/>
                <w:szCs w:val="22"/>
                <w:color w:val="auto"/>
                <w:w w:val="85"/>
              </w:rPr>
              <w:t>Term Sheet</w:t>
            </w:r>
          </w:p>
        </w:tc>
      </w:tr>
      <w:tr>
        <w:trPr>
          <w:trHeight w:val="638"/>
        </w:trPr>
        <w:tc>
          <w:tcPr>
            <w:tcW w:w="2400" w:type="dxa"/>
            <w:vAlign w:val="bottom"/>
            <w:tcBorders>
              <w:bottom w:val="single" w:sz="8" w:color="00000A"/>
            </w:tcBorders>
          </w:tcPr>
          <w:p>
            <w:pPr>
              <w:spacing w:after="0"/>
              <w:rPr>
                <w:sz w:val="24"/>
                <w:szCs w:val="24"/>
                <w:color w:val="auto"/>
              </w:rPr>
            </w:pPr>
          </w:p>
        </w:tc>
        <w:tc>
          <w:tcPr>
            <w:tcW w:w="8860" w:type="dxa"/>
            <w:vAlign w:val="bottom"/>
            <w:tcBorders>
              <w:bottom w:val="single" w:sz="8" w:color="00000A"/>
            </w:tcBorders>
          </w:tcPr>
          <w:p>
            <w:pPr>
              <w:spacing w:after="0"/>
              <w:rPr>
                <w:sz w:val="24"/>
                <w:szCs w:val="24"/>
                <w:color w:val="auto"/>
              </w:rPr>
            </w:pPr>
          </w:p>
        </w:tc>
      </w:tr>
      <w:tr>
        <w:trPr>
          <w:trHeight w:val="274"/>
        </w:trPr>
        <w:tc>
          <w:tcPr>
            <w:tcW w:w="2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Start Date:</w:t>
            </w:r>
          </w:p>
        </w:tc>
        <w:tc>
          <w:tcPr>
            <w:tcW w:w="88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February 3, 2020</w:t>
            </w:r>
          </w:p>
        </w:tc>
      </w:tr>
      <w:tr>
        <w:trPr>
          <w:trHeight w:val="260"/>
        </w:trPr>
        <w:tc>
          <w:tcPr>
            <w:tcW w:w="2400" w:type="dxa"/>
            <w:vAlign w:val="bottom"/>
            <w:tcBorders>
              <w:left w:val="single" w:sz="8" w:color="00000A"/>
              <w:bottom w:val="single" w:sz="8" w:color="00000A"/>
              <w:right w:val="single" w:sz="8" w:color="00000A"/>
            </w:tcBorders>
          </w:tcPr>
          <w:p>
            <w:pPr>
              <w:spacing w:after="0"/>
              <w:rPr>
                <w:sz w:val="22"/>
                <w:szCs w:val="22"/>
                <w:color w:val="auto"/>
              </w:rPr>
            </w:pPr>
          </w:p>
        </w:tc>
        <w:tc>
          <w:tcPr>
            <w:tcW w:w="8860" w:type="dxa"/>
            <w:vAlign w:val="bottom"/>
            <w:tcBorders>
              <w:bottom w:val="single" w:sz="8" w:color="00000A"/>
              <w:right w:val="single" w:sz="8" w:color="00000A"/>
            </w:tcBorders>
          </w:tcPr>
          <w:p>
            <w:pPr>
              <w:spacing w:after="0"/>
              <w:rPr>
                <w:sz w:val="22"/>
                <w:szCs w:val="22"/>
                <w:color w:val="auto"/>
              </w:rPr>
            </w:pPr>
          </w:p>
        </w:tc>
      </w:tr>
      <w:tr>
        <w:trPr>
          <w:trHeight w:val="274"/>
        </w:trPr>
        <w:tc>
          <w:tcPr>
            <w:tcW w:w="2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Employee:</w:t>
            </w:r>
          </w:p>
        </w:tc>
        <w:tc>
          <w:tcPr>
            <w:tcW w:w="88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Kurt Rogers</w:t>
            </w:r>
          </w:p>
        </w:tc>
      </w:tr>
      <w:tr>
        <w:trPr>
          <w:trHeight w:val="260"/>
        </w:trPr>
        <w:tc>
          <w:tcPr>
            <w:tcW w:w="2400" w:type="dxa"/>
            <w:vAlign w:val="bottom"/>
            <w:tcBorders>
              <w:left w:val="single" w:sz="8" w:color="00000A"/>
              <w:bottom w:val="single" w:sz="8" w:color="00000A"/>
              <w:right w:val="single" w:sz="8" w:color="00000A"/>
            </w:tcBorders>
          </w:tcPr>
          <w:p>
            <w:pPr>
              <w:spacing w:after="0"/>
              <w:rPr>
                <w:sz w:val="22"/>
                <w:szCs w:val="22"/>
                <w:color w:val="auto"/>
              </w:rPr>
            </w:pPr>
          </w:p>
        </w:tc>
        <w:tc>
          <w:tcPr>
            <w:tcW w:w="8860" w:type="dxa"/>
            <w:vAlign w:val="bottom"/>
            <w:tcBorders>
              <w:bottom w:val="single" w:sz="8" w:color="00000A"/>
              <w:right w:val="single" w:sz="8" w:color="00000A"/>
            </w:tcBorders>
          </w:tcPr>
          <w:p>
            <w:pPr>
              <w:spacing w:after="0"/>
              <w:rPr>
                <w:sz w:val="22"/>
                <w:szCs w:val="22"/>
                <w:color w:val="auto"/>
              </w:rPr>
            </w:pPr>
          </w:p>
        </w:tc>
      </w:tr>
      <w:tr>
        <w:trPr>
          <w:trHeight w:val="284"/>
        </w:trPr>
        <w:tc>
          <w:tcPr>
            <w:tcW w:w="24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Position</w:t>
            </w:r>
          </w:p>
        </w:tc>
        <w:tc>
          <w:tcPr>
            <w:tcW w:w="88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Chief Legal Officer and Corporate Secretary</w:t>
            </w:r>
          </w:p>
        </w:tc>
      </w:tr>
      <w:tr>
        <w:trPr>
          <w:trHeight w:val="280"/>
        </w:trPr>
        <w:tc>
          <w:tcPr>
            <w:tcW w:w="2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Reporting Person:</w:t>
            </w:r>
          </w:p>
        </w:tc>
        <w:tc>
          <w:tcPr>
            <w:tcW w:w="88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Chief Executive Officer, Brad Jacobs</w:t>
            </w:r>
          </w:p>
        </w:tc>
      </w:tr>
      <w:tr>
        <w:trPr>
          <w:trHeight w:val="260"/>
        </w:trPr>
        <w:tc>
          <w:tcPr>
            <w:tcW w:w="2400" w:type="dxa"/>
            <w:vAlign w:val="bottom"/>
            <w:tcBorders>
              <w:left w:val="single" w:sz="8" w:color="00000A"/>
              <w:bottom w:val="single" w:sz="8" w:color="00000A"/>
              <w:right w:val="single" w:sz="8" w:color="00000A"/>
            </w:tcBorders>
          </w:tcPr>
          <w:p>
            <w:pPr>
              <w:spacing w:after="0"/>
              <w:rPr>
                <w:sz w:val="22"/>
                <w:szCs w:val="22"/>
                <w:color w:val="auto"/>
              </w:rPr>
            </w:pPr>
          </w:p>
        </w:tc>
        <w:tc>
          <w:tcPr>
            <w:tcW w:w="8860" w:type="dxa"/>
            <w:vAlign w:val="bottom"/>
            <w:tcBorders>
              <w:bottom w:val="single" w:sz="8" w:color="00000A"/>
              <w:right w:val="single" w:sz="8" w:color="00000A"/>
            </w:tcBorders>
          </w:tcPr>
          <w:p>
            <w:pPr>
              <w:spacing w:after="0"/>
              <w:rPr>
                <w:sz w:val="22"/>
                <w:szCs w:val="22"/>
                <w:color w:val="auto"/>
              </w:rPr>
            </w:pPr>
          </w:p>
        </w:tc>
      </w:tr>
      <w:tr>
        <w:trPr>
          <w:trHeight w:val="274"/>
        </w:trPr>
        <w:tc>
          <w:tcPr>
            <w:tcW w:w="2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Base Salary:</w:t>
            </w:r>
          </w:p>
        </w:tc>
        <w:tc>
          <w:tcPr>
            <w:tcW w:w="88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$550,000</w:t>
            </w:r>
          </w:p>
        </w:tc>
      </w:tr>
      <w:tr>
        <w:trPr>
          <w:trHeight w:val="260"/>
        </w:trPr>
        <w:tc>
          <w:tcPr>
            <w:tcW w:w="2400" w:type="dxa"/>
            <w:vAlign w:val="bottom"/>
            <w:tcBorders>
              <w:left w:val="single" w:sz="8" w:color="00000A"/>
              <w:bottom w:val="single" w:sz="8" w:color="00000A"/>
              <w:right w:val="single" w:sz="8" w:color="00000A"/>
            </w:tcBorders>
          </w:tcPr>
          <w:p>
            <w:pPr>
              <w:spacing w:after="0"/>
              <w:rPr>
                <w:sz w:val="22"/>
                <w:szCs w:val="22"/>
                <w:color w:val="auto"/>
              </w:rPr>
            </w:pPr>
          </w:p>
        </w:tc>
        <w:tc>
          <w:tcPr>
            <w:tcW w:w="8860" w:type="dxa"/>
            <w:vAlign w:val="bottom"/>
            <w:tcBorders>
              <w:bottom w:val="single" w:sz="8" w:color="00000A"/>
              <w:right w:val="single" w:sz="8" w:color="00000A"/>
            </w:tcBorders>
          </w:tcPr>
          <w:p>
            <w:pPr>
              <w:spacing w:after="0"/>
              <w:rPr>
                <w:sz w:val="22"/>
                <w:szCs w:val="22"/>
                <w:color w:val="auto"/>
              </w:rPr>
            </w:pPr>
          </w:p>
        </w:tc>
      </w:tr>
      <w:tr>
        <w:trPr>
          <w:trHeight w:val="274"/>
        </w:trPr>
        <w:tc>
          <w:tcPr>
            <w:tcW w:w="2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Target Bonus:</w:t>
            </w:r>
          </w:p>
        </w:tc>
        <w:tc>
          <w:tcPr>
            <w:tcW w:w="88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125% of Base Salary ($687,500)</w:t>
            </w:r>
          </w:p>
        </w:tc>
      </w:tr>
      <w:tr>
        <w:trPr>
          <w:trHeight w:val="332"/>
        </w:trPr>
        <w:tc>
          <w:tcPr>
            <w:tcW w:w="2400" w:type="dxa"/>
            <w:vAlign w:val="bottom"/>
            <w:tcBorders>
              <w:left w:val="single" w:sz="8" w:color="00000A"/>
              <w:right w:val="single" w:sz="8" w:color="00000A"/>
            </w:tcBorders>
          </w:tcPr>
          <w:p>
            <w:pPr>
              <w:spacing w:after="0"/>
              <w:rPr>
                <w:sz w:val="24"/>
                <w:szCs w:val="24"/>
                <w:color w:val="auto"/>
              </w:rPr>
            </w:pPr>
          </w:p>
        </w:tc>
        <w:tc>
          <w:tcPr>
            <w:tcW w:w="8860" w:type="dxa"/>
            <w:vAlign w:val="bottom"/>
            <w:tcBorders>
              <w:right w:val="single" w:sz="8" w:color="00000A"/>
            </w:tcBorders>
          </w:tcPr>
          <w:p>
            <w:pPr>
              <w:ind w:left="20"/>
              <w:spacing w:after="0"/>
              <w:rPr>
                <w:sz w:val="20"/>
                <w:szCs w:val="20"/>
                <w:color w:val="auto"/>
              </w:rPr>
            </w:pPr>
            <w:r>
              <w:rPr>
                <w:rFonts w:ascii="Arial" w:cs="Arial" w:eastAsia="Arial" w:hAnsi="Arial"/>
                <w:sz w:val="20"/>
                <w:szCs w:val="20"/>
                <w:i w:val="1"/>
                <w:iCs w:val="1"/>
                <w:color w:val="auto"/>
              </w:rPr>
              <w:t>Provided on a non-prorated basis for performance year 2020.</w:t>
            </w:r>
          </w:p>
        </w:tc>
      </w:tr>
      <w:tr>
        <w:trPr>
          <w:trHeight w:val="266"/>
        </w:trPr>
        <w:tc>
          <w:tcPr>
            <w:tcW w:w="2400" w:type="dxa"/>
            <w:vAlign w:val="bottom"/>
            <w:tcBorders>
              <w:left w:val="single" w:sz="8" w:color="00000A"/>
              <w:bottom w:val="single" w:sz="8" w:color="00000A"/>
              <w:right w:val="single" w:sz="8" w:color="00000A"/>
            </w:tcBorders>
          </w:tcPr>
          <w:p>
            <w:pPr>
              <w:spacing w:after="0"/>
              <w:rPr>
                <w:sz w:val="23"/>
                <w:szCs w:val="23"/>
                <w:color w:val="auto"/>
              </w:rPr>
            </w:pPr>
          </w:p>
        </w:tc>
        <w:tc>
          <w:tcPr>
            <w:tcW w:w="8860" w:type="dxa"/>
            <w:vAlign w:val="bottom"/>
            <w:tcBorders>
              <w:bottom w:val="single" w:sz="8" w:color="00000A"/>
              <w:right w:val="single" w:sz="8" w:color="00000A"/>
            </w:tcBorders>
          </w:tcPr>
          <w:p>
            <w:pPr>
              <w:spacing w:after="0"/>
              <w:rPr>
                <w:sz w:val="23"/>
                <w:szCs w:val="23"/>
                <w:color w:val="auto"/>
              </w:rPr>
            </w:pPr>
          </w:p>
        </w:tc>
      </w:tr>
      <w:tr>
        <w:trPr>
          <w:trHeight w:val="733"/>
        </w:trPr>
        <w:tc>
          <w:tcPr>
            <w:tcW w:w="2400" w:type="dxa"/>
            <w:vAlign w:val="bottom"/>
          </w:tcPr>
          <w:p>
            <w:pPr>
              <w:spacing w:after="0"/>
              <w:rPr>
                <w:sz w:val="24"/>
                <w:szCs w:val="24"/>
                <w:color w:val="auto"/>
              </w:rPr>
            </w:pPr>
          </w:p>
        </w:tc>
        <w:tc>
          <w:tcPr>
            <w:tcW w:w="8860" w:type="dxa"/>
            <w:vAlign w:val="bottom"/>
          </w:tcPr>
          <w:p>
            <w:pPr>
              <w:jc w:val="center"/>
              <w:ind w:right="2293"/>
              <w:spacing w:after="0"/>
              <w:rPr>
                <w:sz w:val="20"/>
                <w:szCs w:val="20"/>
                <w:color w:val="auto"/>
              </w:rPr>
            </w:pPr>
            <w:r>
              <w:rPr>
                <w:rFonts w:ascii="Arial" w:cs="Arial" w:eastAsia="Arial" w:hAnsi="Arial"/>
                <w:sz w:val="22"/>
                <w:szCs w:val="22"/>
                <w:color w:val="auto"/>
                <w:w w:val="99"/>
              </w:rPr>
              <w:t>A-1</w:t>
            </w:r>
          </w:p>
        </w:tc>
      </w:tr>
    </w:tbl>
    <w:p>
      <w:pPr>
        <w:sectPr>
          <w:pgSz w:w="11900" w:h="16838" w:orient="portrait"/>
          <w:cols w:equalWidth="0" w:num="1">
            <w:col w:w="11260"/>
          </w:cols>
          <w:pgMar w:left="320" w:top="861" w:right="31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22"/>
          <w:szCs w:val="22"/>
          <w:u w:val="single" w:color="auto"/>
          <w:color w:val="auto"/>
        </w:rPr>
        <w:t>EXHIBIT B</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FORM OF RSU AWARD AGREEMENT</w:t>
      </w:r>
    </w:p>
    <w:p>
      <w:pPr>
        <w:spacing w:after="0" w:line="260" w:lineRule="exact"/>
        <w:rPr>
          <w:sz w:val="20"/>
          <w:szCs w:val="20"/>
          <w:color w:val="auto"/>
        </w:rPr>
      </w:pPr>
    </w:p>
    <w:p>
      <w:pPr>
        <w:jc w:val="both"/>
        <w:ind w:left="1960" w:right="380"/>
        <w:spacing w:after="0" w:line="271" w:lineRule="auto"/>
        <w:rPr>
          <w:sz w:val="20"/>
          <w:szCs w:val="20"/>
          <w:color w:val="auto"/>
        </w:rPr>
      </w:pPr>
      <w:r>
        <w:rPr>
          <w:rFonts w:ascii="Arial" w:cs="Arial" w:eastAsia="Arial" w:hAnsi="Arial"/>
          <w:sz w:val="21"/>
          <w:szCs w:val="21"/>
          <w:color w:val="auto"/>
        </w:rPr>
        <w:t>RESTRICTED STOCK UNIT AWARD AGREEMENT UNDER THE XPO LOGISTICS, INC. 2016 OMNIBUS INCENTIVE COMPENSATION PLAN, dated as of [DATE], (the “</w:t>
      </w:r>
      <w:r>
        <w:rPr>
          <w:rFonts w:ascii="Arial" w:cs="Arial" w:eastAsia="Arial" w:hAnsi="Arial"/>
          <w:sz w:val="21"/>
          <w:szCs w:val="21"/>
          <w:u w:val="single" w:color="auto"/>
          <w:color w:val="auto"/>
        </w:rPr>
        <w:t>Grant Date</w:t>
      </w:r>
      <w:r>
        <w:rPr>
          <w:rFonts w:ascii="Arial" w:cs="Arial" w:eastAsia="Arial" w:hAnsi="Arial"/>
          <w:sz w:val="21"/>
          <w:szCs w:val="21"/>
          <w:color w:val="auto"/>
        </w:rPr>
        <w:t>”), between XPO LOGISTICS,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Kurt Rogers.</w:t>
      </w:r>
    </w:p>
    <w:p>
      <w:pPr>
        <w:spacing w:after="0" w:line="167" w:lineRule="exact"/>
        <w:rPr>
          <w:sz w:val="20"/>
          <w:szCs w:val="20"/>
          <w:color w:val="auto"/>
        </w:rPr>
      </w:pPr>
    </w:p>
    <w:p>
      <w:pPr>
        <w:ind w:right="140" w:firstLine="1296"/>
        <w:spacing w:after="0" w:line="294" w:lineRule="auto"/>
        <w:rPr>
          <w:sz w:val="20"/>
          <w:szCs w:val="20"/>
          <w:color w:val="auto"/>
        </w:rPr>
      </w:pPr>
      <w:r>
        <w:rPr>
          <w:rFonts w:ascii="Arial" w:cs="Arial" w:eastAsia="Arial" w:hAnsi="Arial"/>
          <w:sz w:val="19"/>
          <w:szCs w:val="19"/>
          <w:color w:val="auto"/>
        </w:rPr>
        <w:t>This Restricted Stock Unit Award Agreement (this “</w:t>
      </w:r>
      <w:r>
        <w:rPr>
          <w:rFonts w:ascii="Arial" w:cs="Arial" w:eastAsia="Arial" w:hAnsi="Arial"/>
          <w:sz w:val="19"/>
          <w:szCs w:val="19"/>
          <w:u w:val="single" w:color="auto"/>
          <w:color w:val="auto"/>
        </w:rPr>
        <w:t>Award Agreement</w:t>
      </w:r>
      <w:r>
        <w:rPr>
          <w:rFonts w:ascii="Arial" w:cs="Arial" w:eastAsia="Arial" w:hAnsi="Arial"/>
          <w:sz w:val="19"/>
          <w:szCs w:val="19"/>
          <w:color w:val="auto"/>
        </w:rPr>
        <w:t>”) sets forth the terms and conditions of an award of an award of restricted stock units with respect to a number of shares of the Company’s Common Stock, $0.001 par value (each, a “</w:t>
      </w:r>
      <w:r>
        <w:rPr>
          <w:rFonts w:ascii="Arial" w:cs="Arial" w:eastAsia="Arial" w:hAnsi="Arial"/>
          <w:sz w:val="19"/>
          <w:szCs w:val="19"/>
          <w:u w:val="single" w:color="auto"/>
          <w:color w:val="auto"/>
        </w:rPr>
        <w:t>Share</w:t>
      </w:r>
      <w:r>
        <w:rPr>
          <w:rFonts w:ascii="Arial" w:cs="Arial" w:eastAsia="Arial" w:hAnsi="Arial"/>
          <w:sz w:val="19"/>
          <w:szCs w:val="19"/>
          <w:color w:val="auto"/>
        </w:rPr>
        <w:t>”) set forth on Exhibit A (this “</w:t>
      </w:r>
      <w:r>
        <w:rPr>
          <w:rFonts w:ascii="Arial" w:cs="Arial" w:eastAsia="Arial" w:hAnsi="Arial"/>
          <w:sz w:val="19"/>
          <w:szCs w:val="19"/>
          <w:u w:val="single" w:color="auto"/>
          <w:color w:val="auto"/>
        </w:rPr>
        <w:t>Award</w:t>
      </w:r>
      <w:r>
        <w:rPr>
          <w:rFonts w:ascii="Arial" w:cs="Arial" w:eastAsia="Arial" w:hAnsi="Arial"/>
          <w:sz w:val="19"/>
          <w:szCs w:val="19"/>
          <w:color w:val="auto"/>
        </w:rPr>
        <w:t>”) that are subject to the terms and conditions specified herein (each such restricted stock unit, an “</w:t>
      </w:r>
      <w:r>
        <w:rPr>
          <w:rFonts w:ascii="Arial" w:cs="Arial" w:eastAsia="Arial" w:hAnsi="Arial"/>
          <w:sz w:val="19"/>
          <w:szCs w:val="19"/>
          <w:u w:val="single" w:color="auto"/>
          <w:color w:val="auto"/>
        </w:rPr>
        <w:t>RSU</w:t>
      </w:r>
      <w:r>
        <w:rPr>
          <w:rFonts w:ascii="Arial" w:cs="Arial" w:eastAsia="Arial" w:hAnsi="Arial"/>
          <w:sz w:val="19"/>
          <w:szCs w:val="19"/>
          <w:color w:val="auto"/>
        </w:rPr>
        <w:t>”) and that are granted to you under the XPO Logistics, Inc. 2016 Omnibus Incentive Compensation Plan (the “</w:t>
      </w:r>
      <w:r>
        <w:rPr>
          <w:rFonts w:ascii="Arial" w:cs="Arial" w:eastAsia="Arial" w:hAnsi="Arial"/>
          <w:sz w:val="19"/>
          <w:szCs w:val="19"/>
          <w:u w:val="single" w:color="auto"/>
          <w:color w:val="auto"/>
        </w:rPr>
        <w:t>Plan</w:t>
      </w:r>
      <w:r>
        <w:rPr>
          <w:rFonts w:ascii="Arial" w:cs="Arial" w:eastAsia="Arial" w:hAnsi="Arial"/>
          <w:sz w:val="19"/>
          <w:szCs w:val="19"/>
          <w:color w:val="auto"/>
        </w:rPr>
        <w:t>”). This Award provides you with the opportunity to earn, subject to the terms of this Award Agreement, Shares or cash, as set forth in Section 3 of this Award Agreement.</w:t>
      </w:r>
    </w:p>
    <w:p>
      <w:pPr>
        <w:spacing w:after="0" w:line="149" w:lineRule="exact"/>
        <w:rPr>
          <w:sz w:val="20"/>
          <w:szCs w:val="20"/>
          <w:color w:val="auto"/>
        </w:rPr>
      </w:pPr>
    </w:p>
    <w:p>
      <w:pPr>
        <w:ind w:right="40" w:firstLine="1296"/>
        <w:spacing w:after="0" w:line="250" w:lineRule="auto"/>
        <w:rPr>
          <w:sz w:val="20"/>
          <w:szCs w:val="20"/>
          <w:color w:val="auto"/>
        </w:rPr>
      </w:pPr>
      <w:r>
        <w:rPr>
          <w:rFonts w:ascii="Arial" w:cs="Arial" w:eastAsia="Arial" w:hAnsi="Arial"/>
          <w:sz w:val="22"/>
          <w:szCs w:val="22"/>
          <w:color w:val="auto"/>
        </w:rPr>
        <w:t>THIS AWARD IS SUBJECT TO ALL TERMS AND CONDITIONS OF THE PLAN AND THIS AWARD AGREEMENT, INCLUDING THE DISPUTE RESOLUTION PROVISIONS SET FORTH IN SECTION 10 OF THIS AWARD AGREEMENT. BY SIGNING YOUR NAME BELOW, YOU SHALL HAVE CONFIRMED YOUR ACCEPTANCE OF THE TERMS AND CONDITIONS OF THIS AWARD AGREEMENT.</w:t>
      </w:r>
    </w:p>
    <w:p>
      <w:pPr>
        <w:spacing w:after="0" w:line="161" w:lineRule="exact"/>
        <w:rPr>
          <w:sz w:val="20"/>
          <w:szCs w:val="20"/>
          <w:color w:val="auto"/>
        </w:rPr>
      </w:pPr>
    </w:p>
    <w:p>
      <w:pPr>
        <w:ind w:right="160" w:firstLine="1296"/>
        <w:spacing w:after="0" w:line="223" w:lineRule="auto"/>
        <w:rPr>
          <w:sz w:val="20"/>
          <w:szCs w:val="20"/>
          <w:color w:val="auto"/>
        </w:rPr>
      </w:pPr>
      <w:r>
        <w:rPr>
          <w:rFonts w:ascii="Arial" w:cs="Arial" w:eastAsia="Arial" w:hAnsi="Arial"/>
          <w:sz w:val="22"/>
          <w:szCs w:val="22"/>
          <w:color w:val="010000"/>
        </w:rPr>
        <w:t xml:space="preserve">SECTION 1. </w:t>
      </w:r>
      <w:r>
        <w:rPr>
          <w:rFonts w:ascii="Arial" w:cs="Arial" w:eastAsia="Arial" w:hAnsi="Arial"/>
          <w:sz w:val="22"/>
          <w:szCs w:val="22"/>
          <w:u w:val="single" w:color="auto"/>
          <w:color w:val="000000"/>
        </w:rPr>
        <w:t>The Plan.</w:t>
      </w:r>
      <w:r>
        <w:rPr>
          <w:rFonts w:ascii="Arial" w:cs="Arial" w:eastAsia="Arial" w:hAnsi="Arial"/>
          <w:sz w:val="22"/>
          <w:szCs w:val="22"/>
          <w:color w:val="010000"/>
        </w:rPr>
        <w:t xml:space="preserve"> </w:t>
      </w:r>
      <w:r>
        <w:rPr>
          <w:rFonts w:ascii="Arial" w:cs="Arial" w:eastAsia="Arial" w:hAnsi="Arial"/>
          <w:sz w:val="22"/>
          <w:szCs w:val="22"/>
          <w:color w:val="000000"/>
        </w:rPr>
        <w:t>This Award is made pursuant to the Plan, all the terms of which are hereby</w:t>
      </w:r>
      <w:r>
        <w:rPr>
          <w:rFonts w:ascii="Arial" w:cs="Arial" w:eastAsia="Arial" w:hAnsi="Arial"/>
          <w:sz w:val="22"/>
          <w:szCs w:val="22"/>
          <w:color w:val="010000"/>
        </w:rPr>
        <w:t xml:space="preserve"> </w:t>
      </w:r>
      <w:r>
        <w:rPr>
          <w:rFonts w:ascii="Arial" w:cs="Arial" w:eastAsia="Arial" w:hAnsi="Arial"/>
          <w:sz w:val="22"/>
          <w:szCs w:val="22"/>
          <w:color w:val="000000"/>
        </w:rPr>
        <w:t>incorporated in this Award Agreement. In the event of any conflict between the terms of the Plan and the terms of this Award Agreement, the terms of the Plan shall govern.</w:t>
      </w:r>
    </w:p>
    <w:p>
      <w:pPr>
        <w:spacing w:after="0" w:line="159" w:lineRule="exact"/>
        <w:rPr>
          <w:sz w:val="20"/>
          <w:szCs w:val="20"/>
          <w:color w:val="auto"/>
        </w:rPr>
      </w:pPr>
    </w:p>
    <w:p>
      <w:pPr>
        <w:jc w:val="both"/>
        <w:ind w:right="180" w:firstLine="1296"/>
        <w:spacing w:after="0" w:line="223" w:lineRule="auto"/>
        <w:rPr>
          <w:sz w:val="20"/>
          <w:szCs w:val="20"/>
          <w:color w:val="auto"/>
        </w:rPr>
      </w:pPr>
      <w:r>
        <w:rPr>
          <w:rFonts w:ascii="Arial" w:cs="Arial" w:eastAsia="Arial" w:hAnsi="Arial"/>
          <w:sz w:val="22"/>
          <w:szCs w:val="22"/>
          <w:color w:val="010000"/>
        </w:rPr>
        <w:t xml:space="preserve">SECTION 2. </w:t>
      </w:r>
      <w:r>
        <w:rPr>
          <w:rFonts w:ascii="Arial" w:cs="Arial" w:eastAsia="Arial" w:hAnsi="Arial"/>
          <w:sz w:val="22"/>
          <w:szCs w:val="22"/>
          <w:u w:val="single" w:color="auto"/>
          <w:color w:val="000000"/>
        </w:rPr>
        <w:t>Definitions.</w:t>
      </w:r>
      <w:r>
        <w:rPr>
          <w:rFonts w:ascii="Arial" w:cs="Arial" w:eastAsia="Arial" w:hAnsi="Arial"/>
          <w:sz w:val="22"/>
          <w:szCs w:val="22"/>
          <w:color w:val="010000"/>
        </w:rPr>
        <w:t xml:space="preserve"> </w:t>
      </w:r>
      <w:r>
        <w:rPr>
          <w:rFonts w:ascii="Arial" w:cs="Arial" w:eastAsia="Arial" w:hAnsi="Arial"/>
          <w:sz w:val="22"/>
          <w:szCs w:val="22"/>
          <w:color w:val="000000"/>
        </w:rPr>
        <w:t>Capitalized terms used in this Award Agreement that are not defined in</w:t>
      </w:r>
      <w:r>
        <w:rPr>
          <w:rFonts w:ascii="Arial" w:cs="Arial" w:eastAsia="Arial" w:hAnsi="Arial"/>
          <w:sz w:val="22"/>
          <w:szCs w:val="22"/>
          <w:color w:val="010000"/>
        </w:rPr>
        <w:t xml:space="preserve"> </w:t>
      </w:r>
      <w:r>
        <w:rPr>
          <w:rFonts w:ascii="Arial" w:cs="Arial" w:eastAsia="Arial" w:hAnsi="Arial"/>
          <w:sz w:val="22"/>
          <w:szCs w:val="22"/>
          <w:color w:val="000000"/>
        </w:rPr>
        <w:t>this Award Agreement have the meanings as used or defined in the Plan. As used in this Award Agreement, the following terms have the meanings set forth below:</w:t>
      </w:r>
    </w:p>
    <w:p>
      <w:pPr>
        <w:spacing w:after="0" w:line="186" w:lineRule="exact"/>
        <w:rPr>
          <w:sz w:val="20"/>
          <w:szCs w:val="20"/>
          <w:color w:val="auto"/>
        </w:rPr>
      </w:pPr>
    </w:p>
    <w:p>
      <w:pPr>
        <w:ind w:right="3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that is not a Saturday, a Sunday or a day on which banking institutions are legally permitted to be closed in the City of New York.</w:t>
      </w:r>
    </w:p>
    <w:p>
      <w:pPr>
        <w:spacing w:after="0" w:line="175" w:lineRule="exact"/>
        <w:rPr>
          <w:sz w:val="20"/>
          <w:szCs w:val="20"/>
          <w:color w:val="auto"/>
        </w:rPr>
      </w:pPr>
    </w:p>
    <w:p>
      <w:pPr>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(i) your dereliction of duties or gross negligence or failure to perform your duties or refusal to follow any lawful directive of the officer to whom you report; (ii) your abuse of or dependency on alcohol or drugs (illicit or otherwise) that adversely affects your performance of duties for the Company; (iii) your commission of any fraud, embezzlement, theft or dishonesty, or any deliberate misappropriation of money or other assets of the Company; (iv) your breach of any</w:t>
      </w:r>
    </w:p>
    <w:p>
      <w:pPr>
        <w:sectPr>
          <w:pgSz w:w="11900" w:h="16838" w:orient="portrait"/>
          <w:cols w:equalWidth="0" w:num="1">
            <w:col w:w="11220"/>
          </w:cols>
          <w:pgMar w:left="320" w:top="1117" w:right="359" w:bottom="1440" w:gutter="0" w:footer="0" w:header="0"/>
        </w:sectPr>
      </w:pPr>
    </w:p>
    <w:bookmarkStart w:id="57" w:name="page58"/>
    <w:bookmarkEnd w:id="57"/>
    <w:p>
      <w:pPr>
        <w:spacing w:after="0" w:line="287" w:lineRule="auto"/>
        <w:rPr>
          <w:sz w:val="20"/>
          <w:szCs w:val="20"/>
          <w:color w:val="auto"/>
        </w:rPr>
      </w:pPr>
      <w:r>
        <w:rPr>
          <w:rFonts w:ascii="Arial" w:cs="Arial" w:eastAsia="Arial" w:hAnsi="Arial"/>
          <w:sz w:val="19"/>
          <w:szCs w:val="19"/>
          <w:color w:val="auto"/>
        </w:rPr>
        <w:t>fiduciary duties to the Company or any agreement with the Company; (v) any act, or failure to act, by you in bad faith to the detriment of the Company; (vi) your failure to provide the Company with at least 30 days’ advanced written notice of your intention to resign; (vii) your failure to cooperate in good faith with a governmental or internal investigation of the Company or any of its directors, managers, officers or employees, if the Company requests your cooperation; (viii) your failure to follow Company policies, including the Company’s code of conduct and/or ethics policy, as may be in effect from time to time, and (ix) your conviction of, or plea of nolo contendere to, a felony or any serious crime; provided that in cases where cure is possible, you shall first be provided a 15-day cure period. If, subsequent to your termination of employment for any reason other than by the Company for Cause, it is determined in good faith by the Chief Executive Officer of the Company that your employment could have been terminated by the Company for Cause, your employment shall, at the election of the Chief Executive Officer of the Company at any time up to two years after your termination of employment but in no event more than six months after the Chief Executive Officer of the Company learns of the facts or events that could give rise to the termination for Cause, be deemed to have been terminated for Cause retroactively to the date the events giving rise to Cause occurred.</w:t>
      </w:r>
    </w:p>
    <w:p>
      <w:pPr>
        <w:spacing w:after="0" w:line="19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w:t>
      </w:r>
    </w:p>
    <w:p>
      <w:pPr>
        <w:spacing w:after="0" w:line="233" w:lineRule="exact"/>
        <w:rPr>
          <w:sz w:val="20"/>
          <w:szCs w:val="20"/>
          <w:color w:val="auto"/>
        </w:rPr>
      </w:pPr>
    </w:p>
    <w:p>
      <w:pPr>
        <w:ind w:right="120" w:firstLine="1385"/>
        <w:spacing w:after="0" w:line="221" w:lineRule="auto"/>
        <w:tabs>
          <w:tab w:leader="none" w:pos="2134" w:val="left"/>
        </w:tabs>
        <w:numPr>
          <w:ilvl w:val="0"/>
          <w:numId w:val="44"/>
        </w:numPr>
        <w:rPr>
          <w:rFonts w:ascii="Arial" w:cs="Arial" w:eastAsia="Arial" w:hAnsi="Arial"/>
          <w:sz w:val="21"/>
          <w:szCs w:val="21"/>
          <w:color w:val="auto"/>
        </w:rPr>
      </w:pPr>
      <w:r>
        <w:rPr>
          <w:rFonts w:ascii="Arial" w:cs="Arial" w:eastAsia="Arial" w:hAnsi="Arial"/>
          <w:sz w:val="21"/>
          <w:szCs w:val="21"/>
          <w:color w:val="auto"/>
        </w:rPr>
        <w:t>during any period, individuals who were directors of the Company on the first day of such period (the “</w:t>
      </w:r>
      <w:r>
        <w:rPr>
          <w:rFonts w:ascii="Arial" w:cs="Arial" w:eastAsia="Arial" w:hAnsi="Arial"/>
          <w:sz w:val="21"/>
          <w:szCs w:val="21"/>
          <w:u w:val="single" w:color="auto"/>
          <w:color w:val="auto"/>
        </w:rPr>
        <w:t>Incumbent Directors</w:t>
      </w:r>
      <w:r>
        <w:rPr>
          <w:rFonts w:ascii="Arial" w:cs="Arial" w:eastAsia="Arial" w:hAnsi="Arial"/>
          <w:sz w:val="21"/>
          <w:szCs w:val="21"/>
          <w:color w:val="auto"/>
        </w:rPr>
        <w:t xml:space="preserve">”) cease for any reason to constitute a majority of the Board;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individual becoming a director subsequent to the first day of such period whose election, or nomination by the Board for election by the Company’s stockholders, was approved by a vote of at least a majority of the Incumbent Directors shall be considered as though such individual were an Incumbent Director,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(including without limitation any settlement thereof);</w:t>
      </w:r>
    </w:p>
    <w:p>
      <w:pPr>
        <w:spacing w:after="0" w:line="205" w:lineRule="exact"/>
        <w:rPr>
          <w:rFonts w:ascii="Arial" w:cs="Arial" w:eastAsia="Arial" w:hAnsi="Arial"/>
          <w:sz w:val="21"/>
          <w:szCs w:val="21"/>
          <w:color w:val="auto"/>
        </w:rPr>
      </w:pPr>
    </w:p>
    <w:p>
      <w:pPr>
        <w:ind w:firstLine="1385"/>
        <w:spacing w:after="0" w:line="221" w:lineRule="auto"/>
        <w:tabs>
          <w:tab w:leader="none" w:pos="2248"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consummation of (A) a merger, consolidation, statutory share exchange or similar form of corporate transaction involving the Company (each of the events referred to in this clause (A) being hereinafter referred to as a “</w:t>
      </w:r>
      <w:r>
        <w:rPr>
          <w:rFonts w:ascii="Arial" w:cs="Arial" w:eastAsia="Arial" w:hAnsi="Arial"/>
          <w:sz w:val="21"/>
          <w:szCs w:val="21"/>
          <w:u w:val="single" w:color="auto"/>
          <w:color w:val="auto"/>
        </w:rPr>
        <w:t>Reorganization</w:t>
      </w:r>
      <w:r>
        <w:rPr>
          <w:rFonts w:ascii="Arial" w:cs="Arial" w:eastAsia="Arial" w:hAnsi="Arial"/>
          <w:sz w:val="21"/>
          <w:szCs w:val="21"/>
          <w:color w:val="auto"/>
        </w:rPr>
        <w:t>”) or (B) the sale or other disposition of all or substantially all of the assets of the Company to an entity that is not an Affiliate (a “</w:t>
      </w:r>
      <w:r>
        <w:rPr>
          <w:rFonts w:ascii="Arial" w:cs="Arial" w:eastAsia="Arial" w:hAnsi="Arial"/>
          <w:sz w:val="21"/>
          <w:szCs w:val="21"/>
          <w:u w:val="single" w:color="auto"/>
          <w:color w:val="auto"/>
        </w:rPr>
        <w:t>Sale</w:t>
      </w:r>
      <w:r>
        <w:rPr>
          <w:rFonts w:ascii="Arial" w:cs="Arial" w:eastAsia="Arial" w:hAnsi="Arial"/>
          <w:sz w:val="21"/>
          <w:szCs w:val="21"/>
          <w:color w:val="auto"/>
        </w:rPr>
        <w:t>”), in each case, if such Reorganization or Sale requires the approval of the Company’s stockholders under the law of the Company’s jurisdiction of organization (whether such approval is required for such Reorganization or Sale or for the issuance of securities of the Company in such Reorganization or Sale), unless, immediately following such Reorganization or Sale, (1) individuals and entities who were the “beneficial owners” (as such term is defined in Rule 13d-3 under the Exchange Act (or a successor rule thereto)) of the securities eligible to vote for the election of the Board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w:t>
      </w:r>
      <w:r>
        <w:rPr>
          <w:rFonts w:ascii="Arial" w:cs="Arial" w:eastAsia="Arial" w:hAnsi="Arial"/>
          <w:sz w:val="21"/>
          <w:szCs w:val="21"/>
          <w:u w:val="single" w:color="auto"/>
          <w:color w:val="auto"/>
        </w:rPr>
        <w:t>Voting Securities</w:t>
      </w:r>
      <w:r>
        <w:rPr>
          <w:rFonts w:ascii="Arial" w:cs="Arial" w:eastAsia="Arial" w:hAnsi="Arial"/>
          <w:sz w:val="21"/>
          <w:szCs w:val="21"/>
          <w:color w:val="auto"/>
        </w:rPr>
        <w:t>”) outstanding immediately prior to</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220"/>
          </w:cols>
          <w:pgMar w:left="320" w:top="604" w:right="359" w:bottom="1440" w:gutter="0" w:footer="0" w:header="0"/>
        </w:sectPr>
      </w:pPr>
    </w:p>
    <w:bookmarkStart w:id="58" w:name="page59"/>
    <w:bookmarkEnd w:id="58"/>
    <w:p>
      <w:pPr>
        <w:ind w:right="100"/>
        <w:spacing w:after="0" w:line="218" w:lineRule="auto"/>
        <w:rPr>
          <w:sz w:val="20"/>
          <w:szCs w:val="20"/>
          <w:color w:val="auto"/>
        </w:rPr>
      </w:pPr>
      <w:r>
        <w:rPr>
          <w:rFonts w:ascii="Arial" w:cs="Arial" w:eastAsia="Arial" w:hAnsi="Arial"/>
          <w:sz w:val="21"/>
          <w:szCs w:val="21"/>
          <w:color w:val="auto"/>
        </w:rPr>
        <w:t>the consummation of such Reorganization or Sale continue to beneficially own, directly or indirectly, more than 50% of the combined voting power of the then outstanding voting securities of the corporation or other entity resulting from such Reorganization or Sale (including a corporation that, as a result of such transaction, owns the Company or all or substantially all of the Company’s assets either directly or through one or more subsidiaries) (the “</w:t>
      </w:r>
      <w:r>
        <w:rPr>
          <w:rFonts w:ascii="Arial" w:cs="Arial" w:eastAsia="Arial" w:hAnsi="Arial"/>
          <w:sz w:val="21"/>
          <w:szCs w:val="21"/>
          <w:u w:val="single" w:color="auto"/>
          <w:color w:val="auto"/>
        </w:rPr>
        <w:t>Continuing Company</w:t>
      </w:r>
      <w:r>
        <w:rPr>
          <w:rFonts w:ascii="Arial" w:cs="Arial" w:eastAsia="Arial" w:hAnsi="Arial"/>
          <w:sz w:val="21"/>
          <w:szCs w:val="21"/>
          <w:color w:val="auto"/>
        </w:rPr>
        <w:t>”) in substantially the same proportion as the voting power of such Company Voting Securities among the holders thereof immediately prior to the Reorganization or Sale (excluding, for such purposes, any outstanding voting securities of the Continuing Company that such beneficial owners hold immediately following the consummation of the Reorganization or Sale as a result of their ownership prior to such consummation of voting securities of any corporation or other entity involved in or forming part of such Reorganization or Sale other than the Company), (2) no “person” (as such term is used in Section 13(d) of the Exchange Act) (each, a “</w:t>
      </w:r>
      <w:r>
        <w:rPr>
          <w:rFonts w:ascii="Arial" w:cs="Arial" w:eastAsia="Arial" w:hAnsi="Arial"/>
          <w:sz w:val="21"/>
          <w:szCs w:val="21"/>
          <w:u w:val="single" w:color="auto"/>
          <w:color w:val="auto"/>
        </w:rPr>
        <w:t>Person</w:t>
      </w:r>
      <w:r>
        <w:rPr>
          <w:rFonts w:ascii="Arial" w:cs="Arial" w:eastAsia="Arial" w:hAnsi="Arial"/>
          <w:sz w:val="21"/>
          <w:szCs w:val="21"/>
          <w:color w:val="auto"/>
        </w:rPr>
        <w:t>”) (excluding (x) any employee benefit plan (or related trust) sponsored or maintained by the Continuing Company or any corporation controlled by the Continuing Company and (y) any one or more Specified Stockholders) beneficially owns, directly or indirectly, 30% or more of the combined voting power of the then outstanding voting securities of the Continuing Company and (3) at least 50% of the members of the board of directors of the Continuing Company (or equivalent body) were Incumbent Directors at the time of the execution of the definitive agreement providing for such Reorganization or Sale or, in the absence of such an agreement, at the time at which approval of the Board was obtained for such Reorganization or Sale;</w:t>
      </w:r>
    </w:p>
    <w:p>
      <w:pPr>
        <w:spacing w:after="0" w:line="243" w:lineRule="exact"/>
        <w:rPr>
          <w:sz w:val="20"/>
          <w:szCs w:val="20"/>
          <w:color w:val="auto"/>
        </w:rPr>
      </w:pPr>
    </w:p>
    <w:p>
      <w:pPr>
        <w:ind w:right="80" w:firstLine="1385"/>
        <w:spacing w:after="0" w:line="223" w:lineRule="auto"/>
        <w:tabs>
          <w:tab w:leader="none" w:pos="2227" w:val="left"/>
        </w:tabs>
        <w:numPr>
          <w:ilvl w:val="0"/>
          <w:numId w:val="45"/>
        </w:numPr>
        <w:rPr>
          <w:rFonts w:ascii="Arial" w:cs="Arial" w:eastAsia="Arial" w:hAnsi="Arial"/>
          <w:sz w:val="20"/>
          <w:szCs w:val="20"/>
          <w:color w:val="auto"/>
        </w:rPr>
      </w:pPr>
      <w:r>
        <w:rPr>
          <w:rFonts w:ascii="Arial" w:cs="Arial" w:eastAsia="Arial" w:hAnsi="Arial"/>
          <w:sz w:val="22"/>
          <w:szCs w:val="22"/>
          <w:color w:val="auto"/>
        </w:rPr>
        <w:t>the stockholders of the Company approve a plan of complete liquidation or dissolution of the Company unless such liquidation or dissolution is part of a transaction or series of transactions described in paragraph (ii) above that does not otherwise constitute a Change of Control; or</w:t>
      </w:r>
    </w:p>
    <w:p>
      <w:pPr>
        <w:spacing w:after="0" w:line="199" w:lineRule="exact"/>
        <w:rPr>
          <w:rFonts w:ascii="Arial" w:cs="Arial" w:eastAsia="Arial" w:hAnsi="Arial"/>
          <w:sz w:val="20"/>
          <w:szCs w:val="20"/>
          <w:color w:val="auto"/>
        </w:rPr>
      </w:pPr>
    </w:p>
    <w:p>
      <w:pPr>
        <w:ind w:firstLine="1385"/>
        <w:spacing w:after="0" w:line="219" w:lineRule="auto"/>
        <w:tabs>
          <w:tab w:leader="none" w:pos="2216" w:val="left"/>
        </w:tabs>
        <w:numPr>
          <w:ilvl w:val="0"/>
          <w:numId w:val="45"/>
        </w:numPr>
        <w:rPr>
          <w:rFonts w:ascii="Arial" w:cs="Arial" w:eastAsia="Arial" w:hAnsi="Arial"/>
          <w:sz w:val="19"/>
          <w:szCs w:val="19"/>
          <w:color w:val="auto"/>
        </w:rPr>
      </w:pPr>
      <w:r>
        <w:rPr>
          <w:rFonts w:ascii="Arial" w:cs="Arial" w:eastAsia="Arial" w:hAnsi="Arial"/>
          <w:sz w:val="21"/>
          <w:szCs w:val="21"/>
          <w:color w:val="auto"/>
        </w:rPr>
        <w:t xml:space="preserve">any Person, corporation or other entity or “group” (as used in Section 14(d)(2) of the Exchange Act) (other than (A) the Company, (B) any trustee or other fiduciary holding securities under an employee benefit plan of the Company or an Affiliate, (C) any company owned, directly or indirectly, by the stockholders of the Company in substantially the same proportions as their ownership of the voting power of the Company Voting Securities or (D) any one or more Specified Stockholders, including any group in which a Specified Stockholder is a member) becomes the beneficial owner, directly or indirectly, of securities of the Company representing 30% or more of the combined voting power of the Company Voting Securities;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for purposes of this subparagraph (iv), the following acquisitions shall not constitute a Change of Control: (w) any acquisition directly from the Company, (x) any acquisition by any employee benefit plan (or related trust) sponsored or maintained by the Company or an Affiliate, (y) any acquisition by an underwriter temporarily holding such Company Voting Securities pursuant to an offering of such securities or any acquisition by a pledgee of Company Voting Securities holding such securities as collateral or temporarily holding such securities upon foreclosure of the underlying obligation or (z) any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1240"/>
          </w:cols>
          <w:pgMar w:left="320" w:top="577" w:right="339" w:bottom="1440" w:gutter="0" w:footer="0" w:header="0"/>
        </w:sectPr>
      </w:pPr>
    </w:p>
    <w:bookmarkStart w:id="59" w:name="page60"/>
    <w:bookmarkEnd w:id="59"/>
    <w:p>
      <w:pPr>
        <w:ind w:right="640"/>
        <w:spacing w:after="0" w:line="232" w:lineRule="auto"/>
        <w:rPr>
          <w:sz w:val="20"/>
          <w:szCs w:val="20"/>
          <w:color w:val="auto"/>
        </w:rPr>
      </w:pPr>
      <w:r>
        <w:rPr>
          <w:rFonts w:ascii="Arial" w:cs="Arial" w:eastAsia="Arial" w:hAnsi="Arial"/>
          <w:sz w:val="22"/>
          <w:szCs w:val="22"/>
          <w:color w:val="auto"/>
        </w:rPr>
        <w:t>acquisition pursuant to a Reorganization or Sale that does not constitute a Change of Control for purposes of subparagraph (ii) above of this definition.</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20" w:lineRule="exact"/>
        <w:rPr>
          <w:sz w:val="20"/>
          <w:szCs w:val="20"/>
          <w:color w:val="auto"/>
        </w:rPr>
      </w:pPr>
    </w:p>
    <w:p>
      <w:pPr>
        <w:ind w:right="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means any individual employment agreement between you and the Company or any of its Subsidiaries.</w:t>
      </w:r>
    </w:p>
    <w:p>
      <w:pPr>
        <w:spacing w:after="0" w:line="175"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means Section 409A of the Code, and the regulations and other interpretive guidance promulgated thereunder, as in effect from time to time.</w:t>
      </w:r>
    </w:p>
    <w:p>
      <w:pPr>
        <w:spacing w:after="0" w:line="175" w:lineRule="exact"/>
        <w:rPr>
          <w:sz w:val="20"/>
          <w:szCs w:val="20"/>
          <w:color w:val="auto"/>
        </w:rPr>
      </w:pPr>
    </w:p>
    <w:p>
      <w:pPr>
        <w:ind w:right="80"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Settlement Date</w:t>
      </w:r>
      <w:r>
        <w:rPr>
          <w:rFonts w:ascii="Arial" w:cs="Arial" w:eastAsia="Arial" w:hAnsi="Arial"/>
          <w:sz w:val="21"/>
          <w:szCs w:val="21"/>
          <w:color w:val="auto"/>
        </w:rPr>
        <w:t>” means the tenth (10th) day following the earliest of (i) the applicable Vesting Date; (ii) the date of your termination of employment due to death or by the Company without Cause; or (iii) a Change of Control.</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 Date</w:t>
      </w:r>
      <w:r>
        <w:rPr>
          <w:rFonts w:ascii="Arial" w:cs="Arial" w:eastAsia="Arial" w:hAnsi="Arial"/>
          <w:sz w:val="22"/>
          <w:szCs w:val="22"/>
          <w:color w:val="auto"/>
        </w:rPr>
        <w:t>” means each of the first four anniversaries of the Grant Date.</w:t>
      </w:r>
    </w:p>
    <w:p>
      <w:pPr>
        <w:spacing w:after="0" w:line="233" w:lineRule="exact"/>
        <w:rPr>
          <w:sz w:val="20"/>
          <w:szCs w:val="20"/>
          <w:color w:val="auto"/>
        </w:rPr>
      </w:pPr>
    </w:p>
    <w:p>
      <w:pPr>
        <w:ind w:left="1300"/>
        <w:spacing w:after="0"/>
        <w:tabs>
          <w:tab w:leader="none" w:pos="3700" w:val="left"/>
        </w:tabs>
        <w:rPr>
          <w:sz w:val="20"/>
          <w:szCs w:val="20"/>
          <w:color w:val="auto"/>
        </w:rPr>
      </w:pPr>
      <w:r>
        <w:rPr>
          <w:rFonts w:ascii="Arial" w:cs="Arial" w:eastAsia="Arial" w:hAnsi="Arial"/>
          <w:sz w:val="22"/>
          <w:szCs w:val="22"/>
          <w:color w:val="010000"/>
        </w:rPr>
        <w:t>SECTION 3.</w:t>
      </w:r>
      <w:r>
        <w:rPr>
          <w:sz w:val="20"/>
          <w:szCs w:val="20"/>
          <w:color w:val="auto"/>
        </w:rPr>
        <w:tab/>
      </w:r>
      <w:r>
        <w:rPr>
          <w:rFonts w:ascii="Arial" w:cs="Arial" w:eastAsia="Arial" w:hAnsi="Arial"/>
          <w:sz w:val="19"/>
          <w:szCs w:val="19"/>
          <w:u w:val="single" w:color="auto"/>
          <w:color w:val="auto"/>
        </w:rPr>
        <w:t>Vesting and Settlement</w:t>
      </w:r>
    </w:p>
    <w:p>
      <w:pPr>
        <w:spacing w:after="0" w:line="206" w:lineRule="exact"/>
        <w:rPr>
          <w:sz w:val="20"/>
          <w:szCs w:val="20"/>
          <w:color w:val="auto"/>
        </w:rPr>
      </w:pPr>
    </w:p>
    <w:p>
      <w:pPr>
        <w:ind w:firstLine="1304"/>
        <w:spacing w:after="0" w:line="250" w:lineRule="auto"/>
        <w:tabs>
          <w:tab w:leader="none" w:pos="159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Regularly Scheduled Settlement</w:t>
      </w:r>
      <w:r>
        <w:rPr>
          <w:rFonts w:ascii="Arial" w:cs="Arial" w:eastAsia="Arial" w:hAnsi="Arial"/>
          <w:sz w:val="22"/>
          <w:szCs w:val="22"/>
          <w:color w:val="auto"/>
        </w:rPr>
        <w:t>. Except as otherwise provided in this Award Agreement, subject to your continued employment through each Vesting Date, you shall become entitled to delivery of Shares, cash or a combination thereof, as determined by the Company in its sole discretion, in settlement of twenty-five percent (25%) of the RSUs on each Vesting Date.</w:t>
      </w:r>
    </w:p>
    <w:p>
      <w:pPr>
        <w:spacing w:after="0" w:line="187" w:lineRule="exact"/>
        <w:rPr>
          <w:rFonts w:ascii="Arial" w:cs="Arial" w:eastAsia="Arial" w:hAnsi="Arial"/>
          <w:sz w:val="22"/>
          <w:szCs w:val="22"/>
          <w:color w:val="auto"/>
        </w:rPr>
      </w:pPr>
    </w:p>
    <w:p>
      <w:pPr>
        <w:ind w:left="1600" w:hanging="296"/>
        <w:spacing w:after="0"/>
        <w:tabs>
          <w:tab w:leader="none" w:pos="160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Notwithstanding anything to the contrary in this Award Agreement or the Plan to</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contrary:</w:t>
      </w:r>
    </w:p>
    <w:p>
      <w:pPr>
        <w:spacing w:after="0" w:line="202" w:lineRule="exact"/>
        <w:rPr>
          <w:sz w:val="20"/>
          <w:szCs w:val="20"/>
          <w:color w:val="auto"/>
        </w:rPr>
      </w:pPr>
    </w:p>
    <w:p>
      <w:pPr>
        <w:ind w:left="1620" w:hanging="316"/>
        <w:spacing w:after="0"/>
        <w:tabs>
          <w:tab w:leader="none" w:pos="1620" w:val="left"/>
        </w:tabs>
        <w:numPr>
          <w:ilvl w:val="0"/>
          <w:numId w:val="47"/>
        </w:numPr>
        <w:rPr>
          <w:rFonts w:ascii="Arial" w:cs="Arial" w:eastAsia="Arial" w:hAnsi="Arial"/>
          <w:sz w:val="19"/>
          <w:szCs w:val="19"/>
          <w:color w:val="auto"/>
        </w:rPr>
      </w:pPr>
      <w:r>
        <w:rPr>
          <w:rFonts w:ascii="Arial" w:cs="Arial" w:eastAsia="Arial" w:hAnsi="Arial"/>
          <w:sz w:val="19"/>
          <w:szCs w:val="19"/>
          <w:color w:val="auto"/>
        </w:rPr>
        <w:t>if your employment terminates by reason of your death, all outstanding RSUs shall vest in full immediately;</w:t>
      </w:r>
    </w:p>
    <w:p>
      <w:pPr>
        <w:spacing w:after="0" w:line="294" w:lineRule="exact"/>
        <w:rPr>
          <w:rFonts w:ascii="Arial" w:cs="Arial" w:eastAsia="Arial" w:hAnsi="Arial"/>
          <w:sz w:val="19"/>
          <w:szCs w:val="19"/>
          <w:color w:val="auto"/>
        </w:rPr>
      </w:pPr>
    </w:p>
    <w:p>
      <w:pPr>
        <w:ind w:left="660" w:right="100" w:firstLine="644"/>
        <w:spacing w:after="0" w:line="263" w:lineRule="auto"/>
        <w:tabs>
          <w:tab w:leader="none" w:pos="16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if your employment is terminated by the Company for Cause or by reason of your Disability or you resign for any reason, all unvested RSUs shall be immediately forfeited; and</w:t>
      </w:r>
    </w:p>
    <w:p>
      <w:pPr>
        <w:spacing w:after="0" w:line="215" w:lineRule="exact"/>
        <w:rPr>
          <w:rFonts w:ascii="Arial" w:cs="Arial" w:eastAsia="Arial" w:hAnsi="Arial"/>
          <w:sz w:val="22"/>
          <w:szCs w:val="22"/>
          <w:color w:val="auto"/>
        </w:rPr>
      </w:pPr>
    </w:p>
    <w:p>
      <w:pPr>
        <w:ind w:left="660" w:right="200" w:firstLine="644"/>
        <w:spacing w:after="0" w:line="292" w:lineRule="auto"/>
        <w:tabs>
          <w:tab w:leader="none" w:pos="1686" w:val="left"/>
        </w:tabs>
        <w:numPr>
          <w:ilvl w:val="0"/>
          <w:numId w:val="47"/>
        </w:numPr>
        <w:rPr>
          <w:rFonts w:ascii="Arial" w:cs="Arial" w:eastAsia="Arial" w:hAnsi="Arial"/>
          <w:sz w:val="19"/>
          <w:szCs w:val="19"/>
          <w:color w:val="auto"/>
        </w:rPr>
      </w:pPr>
      <w:r>
        <w:rPr>
          <w:rFonts w:ascii="Arial" w:cs="Arial" w:eastAsia="Arial" w:hAnsi="Arial"/>
          <w:sz w:val="19"/>
          <w:szCs w:val="19"/>
          <w:color w:val="auto"/>
        </w:rPr>
        <w:t>if your employment terminates for any reason not described in clauses (i) or (ii), (A) you shall vest in a number of RSUs, solely with respect to the RSUs scheduled and eligible to vest on the Vesting Date immediately following the date of termination, equal to the product of (x) the number of such RSUs scheduled and eligible to vest on the Vesting Date immediately following the date of termination and (y) a fraction, the numerator of which is the number of days from the Vesting Date immediately preceding the date of termination (or, if such termination is after the Grant Date but prior to the first Vesting Date, the Grant Date) through the date of termination of your employment and the denominator of which is the number of days from the Vesting Date immediately</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B-4</w:t>
      </w:r>
    </w:p>
    <w:p>
      <w:pPr>
        <w:sectPr>
          <w:pgSz w:w="11900" w:h="16838" w:orient="portrait"/>
          <w:cols w:equalWidth="0" w:num="1">
            <w:col w:w="11240"/>
          </w:cols>
          <w:pgMar w:left="320" w:top="577" w:right="339" w:bottom="1440" w:gutter="0" w:footer="0" w:header="0"/>
        </w:sectPr>
      </w:pPr>
    </w:p>
    <w:bookmarkStart w:id="60" w:name="page61"/>
    <w:bookmarkEnd w:id="60"/>
    <w:p>
      <w:pPr>
        <w:ind w:left="660" w:right="180"/>
        <w:spacing w:after="0" w:line="253" w:lineRule="auto"/>
        <w:rPr>
          <w:sz w:val="20"/>
          <w:szCs w:val="20"/>
          <w:color w:val="auto"/>
        </w:rPr>
      </w:pPr>
      <w:r>
        <w:rPr>
          <w:rFonts w:ascii="Arial" w:cs="Arial" w:eastAsia="Arial" w:hAnsi="Arial"/>
          <w:sz w:val="22"/>
          <w:szCs w:val="22"/>
          <w:color w:val="auto"/>
        </w:rPr>
        <w:t>preceding the date of termination (or, if such termination is after the Grant Date but prior to the first Vesting Date, the Grant Date) through the Vesting Date immediately following the date of termination, and (B) the remainder of the RSUs shall be forfeited.</w:t>
      </w:r>
    </w:p>
    <w:p>
      <w:pPr>
        <w:spacing w:after="0" w:line="226"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By way of illustration, if your employment is terminated by the Company without Cause on the date that is six (6) months after the first Vesting Date, you shall vest in one-half (1/2) of the RSUs that were scheduled and eligible to vest on the second Vesting Date and the remainder of the RSUs shall be forfeited.</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u w:val="single" w:color="auto"/>
          <w:color w:val="auto"/>
        </w:rPr>
        <w:t>Change of Control.</w:t>
      </w:r>
      <w:r>
        <w:rPr>
          <w:rFonts w:ascii="Arial" w:cs="Arial" w:eastAsia="Arial" w:hAnsi="Arial"/>
          <w:sz w:val="19"/>
          <w:szCs w:val="19"/>
          <w:color w:val="auto"/>
        </w:rPr>
        <w:t xml:space="preserve"> Upon a Change of Control that occurs during your employment, all RSUs shall vest in full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immediately.</w:t>
      </w:r>
    </w:p>
    <w:p>
      <w:pPr>
        <w:spacing w:after="0" w:line="202" w:lineRule="exact"/>
        <w:rPr>
          <w:sz w:val="20"/>
          <w:szCs w:val="20"/>
          <w:color w:val="auto"/>
        </w:rPr>
      </w:pPr>
    </w:p>
    <w:p>
      <w:pPr>
        <w:ind w:right="200" w:firstLine="1304"/>
        <w:spacing w:after="0" w:line="302" w:lineRule="auto"/>
        <w:tabs>
          <w:tab w:leader="none" w:pos="1602"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Settlement of RSU Award.</w:t>
      </w:r>
      <w:r>
        <w:rPr>
          <w:rFonts w:ascii="Arial" w:cs="Arial" w:eastAsia="Arial" w:hAnsi="Arial"/>
          <w:sz w:val="19"/>
          <w:szCs w:val="19"/>
          <w:color w:val="auto"/>
        </w:rPr>
        <w:t xml:space="preserve"> On the Settlement Date, the Company shall deliver to you or your legal representative either (i) one Share or (ii) a cash payment equal to the Fair Market Value determined as of the Settlement Date of one Share, in each case, for each RSU that has vested in accordance with the terms of this Award Agreement; provided that, the Company shall have sole discretion to determine whether to settle such RSUs in Shares, cash or a combination thereof.</w:t>
      </w:r>
    </w:p>
    <w:p>
      <w:pPr>
        <w:spacing w:after="0" w:line="115" w:lineRule="exact"/>
        <w:rPr>
          <w:sz w:val="20"/>
          <w:szCs w:val="20"/>
          <w:color w:val="auto"/>
        </w:rPr>
      </w:pPr>
    </w:p>
    <w:p>
      <w:pPr>
        <w:ind w:right="80" w:firstLine="1296"/>
        <w:spacing w:after="0" w:line="244" w:lineRule="auto"/>
        <w:rPr>
          <w:sz w:val="20"/>
          <w:szCs w:val="20"/>
          <w:color w:val="auto"/>
        </w:rPr>
      </w:pPr>
      <w:r>
        <w:rPr>
          <w:rFonts w:ascii="Arial" w:cs="Arial" w:eastAsia="Arial" w:hAnsi="Arial"/>
          <w:sz w:val="19"/>
          <w:szCs w:val="19"/>
          <w:color w:val="010000"/>
        </w:rPr>
        <w:t xml:space="preserve">SECTION 4. </w:t>
      </w:r>
      <w:r>
        <w:rPr>
          <w:rFonts w:ascii="Arial" w:cs="Arial" w:eastAsia="Arial" w:hAnsi="Arial"/>
          <w:sz w:val="19"/>
          <w:szCs w:val="19"/>
          <w:u w:val="single" w:color="auto"/>
          <w:color w:val="000000"/>
        </w:rPr>
        <w:t>Forfeiture of RSUs.</w:t>
      </w:r>
      <w:r>
        <w:rPr>
          <w:rFonts w:ascii="Arial" w:cs="Arial" w:eastAsia="Arial" w:hAnsi="Arial"/>
          <w:sz w:val="19"/>
          <w:szCs w:val="19"/>
          <w:color w:val="010000"/>
        </w:rPr>
        <w:t xml:space="preserve"> </w:t>
      </w:r>
      <w:r>
        <w:rPr>
          <w:rFonts w:ascii="Arial" w:cs="Arial" w:eastAsia="Arial" w:hAnsi="Arial"/>
          <w:sz w:val="19"/>
          <w:szCs w:val="19"/>
          <w:color w:val="000000"/>
        </w:rPr>
        <w:t>If you (a) breach any restrictive covenant (which, for the</w:t>
      </w:r>
      <w:r>
        <w:rPr>
          <w:rFonts w:ascii="Arial" w:cs="Arial" w:eastAsia="Arial" w:hAnsi="Arial"/>
          <w:sz w:val="19"/>
          <w:szCs w:val="19"/>
          <w:color w:val="010000"/>
        </w:rPr>
        <w:t xml:space="preserve"> </w:t>
      </w:r>
      <w:r>
        <w:rPr>
          <w:rFonts w:ascii="Arial" w:cs="Arial" w:eastAsia="Arial" w:hAnsi="Arial"/>
          <w:sz w:val="19"/>
          <w:szCs w:val="19"/>
          <w:color w:val="000000"/>
        </w:rPr>
        <w:t>avoidance of doubt, includes any non-compete, non-solicit, non-disparagement or confidentiality provisions) contained in any arrangements with the Company (including any Employment Agreement and the confidentiality covenant contained in Section 10(c) hereof) to which you are subject or (b) engage in fraud or willful misconduct that contributes materially to any financial restatement or material loss to the Company or any of its Subsidiaries, your rights with respect to the RSUs shall immediately terminate, and you shall be entitled to no further payments or benefits with respect thereto and, if the RSUs are vested and/or settled, the Company may require you to forfeit or remit to the Company any amount payable, or the after-tax net amount paid or received by you, in respect of any RSUs; provided, however, that (i) the Company shall make such demand that you forfeit or remit any such amount no later than six months after learning of the conduct described in this Section 4 and (ii) in cases where cure is possible, you shall first be provided a 15-day cure period to cease, and to cure, such conduct.</w:t>
      </w:r>
    </w:p>
    <w:p>
      <w:pPr>
        <w:spacing w:after="0" w:line="155" w:lineRule="exact"/>
        <w:rPr>
          <w:sz w:val="20"/>
          <w:szCs w:val="20"/>
          <w:color w:val="auto"/>
        </w:rPr>
      </w:pPr>
    </w:p>
    <w:p>
      <w:pPr>
        <w:ind w:right="660" w:firstLine="1296"/>
        <w:spacing w:after="0" w:line="234" w:lineRule="auto"/>
        <w:rPr>
          <w:sz w:val="20"/>
          <w:szCs w:val="20"/>
          <w:color w:val="auto"/>
        </w:rPr>
      </w:pPr>
      <w:r>
        <w:rPr>
          <w:rFonts w:ascii="Arial" w:cs="Arial" w:eastAsia="Arial" w:hAnsi="Arial"/>
          <w:sz w:val="21"/>
          <w:szCs w:val="21"/>
          <w:color w:val="010000"/>
        </w:rPr>
        <w:t xml:space="preserve">SECTION 5. </w:t>
      </w:r>
      <w:r>
        <w:rPr>
          <w:rFonts w:ascii="Arial" w:cs="Arial" w:eastAsia="Arial" w:hAnsi="Arial"/>
          <w:sz w:val="21"/>
          <w:szCs w:val="21"/>
          <w:u w:val="single" w:color="auto"/>
          <w:color w:val="000000"/>
        </w:rPr>
        <w:t>No Rights as a Stockholder.</w:t>
      </w:r>
      <w:r>
        <w:rPr>
          <w:rFonts w:ascii="Arial" w:cs="Arial" w:eastAsia="Arial" w:hAnsi="Arial"/>
          <w:sz w:val="21"/>
          <w:szCs w:val="21"/>
          <w:color w:val="010000"/>
        </w:rPr>
        <w:t xml:space="preserve"> </w:t>
      </w:r>
      <w:r>
        <w:rPr>
          <w:rFonts w:ascii="Arial" w:cs="Arial" w:eastAsia="Arial" w:hAnsi="Arial"/>
          <w:sz w:val="21"/>
          <w:szCs w:val="21"/>
          <w:color w:val="000000"/>
        </w:rPr>
        <w:t>You shall not have any rights or privileges of a</w:t>
      </w:r>
      <w:r>
        <w:rPr>
          <w:rFonts w:ascii="Arial" w:cs="Arial" w:eastAsia="Arial" w:hAnsi="Arial"/>
          <w:sz w:val="21"/>
          <w:szCs w:val="21"/>
          <w:color w:val="010000"/>
        </w:rPr>
        <w:t xml:space="preserve"> </w:t>
      </w:r>
      <w:r>
        <w:rPr>
          <w:rFonts w:ascii="Arial" w:cs="Arial" w:eastAsia="Arial" w:hAnsi="Arial"/>
          <w:sz w:val="21"/>
          <w:szCs w:val="21"/>
          <w:color w:val="000000"/>
        </w:rPr>
        <w:t>stockholder with respect to the RSUs subject to this Award Agreement unless and until certificates representing Shares are actually issued and delivered to you or your legal representative in settlement of this Award.</w:t>
      </w:r>
    </w:p>
    <w:p>
      <w:pPr>
        <w:spacing w:after="0" w:line="158" w:lineRule="exact"/>
        <w:rPr>
          <w:sz w:val="20"/>
          <w:szCs w:val="20"/>
          <w:color w:val="auto"/>
        </w:rPr>
      </w:pPr>
    </w:p>
    <w:p>
      <w:pPr>
        <w:ind w:right="20" w:firstLine="1296"/>
        <w:spacing w:after="0" w:line="234" w:lineRule="auto"/>
        <w:rPr>
          <w:sz w:val="20"/>
          <w:szCs w:val="20"/>
          <w:color w:val="auto"/>
        </w:rPr>
      </w:pPr>
      <w:r>
        <w:rPr>
          <w:rFonts w:ascii="Arial" w:cs="Arial" w:eastAsia="Arial" w:hAnsi="Arial"/>
          <w:sz w:val="21"/>
          <w:szCs w:val="21"/>
          <w:color w:val="010000"/>
        </w:rPr>
        <w:t xml:space="preserve">SECTION 6. </w:t>
      </w:r>
      <w:r>
        <w:rPr>
          <w:rFonts w:ascii="Arial" w:cs="Arial" w:eastAsia="Arial" w:hAnsi="Arial"/>
          <w:sz w:val="21"/>
          <w:szCs w:val="21"/>
          <w:u w:val="single" w:color="auto"/>
          <w:color w:val="000000"/>
        </w:rPr>
        <w:t>Non-Transferability of RSUs.</w:t>
      </w:r>
      <w:r>
        <w:rPr>
          <w:rFonts w:ascii="Arial" w:cs="Arial" w:eastAsia="Arial" w:hAnsi="Arial"/>
          <w:sz w:val="21"/>
          <w:szCs w:val="21"/>
          <w:color w:val="010000"/>
        </w:rPr>
        <w:t xml:space="preserve"> </w:t>
      </w:r>
      <w:r>
        <w:rPr>
          <w:rFonts w:ascii="Arial" w:cs="Arial" w:eastAsia="Arial" w:hAnsi="Arial"/>
          <w:sz w:val="21"/>
          <w:szCs w:val="21"/>
          <w:color w:val="000000"/>
        </w:rPr>
        <w:t>Unless otherwise provided by the Committee in its</w:t>
      </w:r>
      <w:r>
        <w:rPr>
          <w:rFonts w:ascii="Arial" w:cs="Arial" w:eastAsia="Arial" w:hAnsi="Arial"/>
          <w:sz w:val="21"/>
          <w:szCs w:val="21"/>
          <w:color w:val="010000"/>
        </w:rPr>
        <w:t xml:space="preserve"> </w:t>
      </w:r>
      <w:r>
        <w:rPr>
          <w:rFonts w:ascii="Arial" w:cs="Arial" w:eastAsia="Arial" w:hAnsi="Arial"/>
          <w:sz w:val="21"/>
          <w:szCs w:val="21"/>
          <w:color w:val="000000"/>
        </w:rPr>
        <w:t>discretion, RSUs may not be sold, assigned, alienated, transferred, pledged, attached or otherwise encumbered except as provided in Section 9(a) of the Plan. Any purported sale, assignment, alienation, transfer, pledge, attachment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B-5</w:t>
      </w:r>
    </w:p>
    <w:p>
      <w:pPr>
        <w:sectPr>
          <w:pgSz w:w="11900" w:h="16838" w:orient="portrait"/>
          <w:cols w:equalWidth="0" w:num="1">
            <w:col w:w="11240"/>
          </w:cols>
          <w:pgMar w:left="320" w:top="604" w:right="339" w:bottom="1440" w:gutter="0" w:footer="0" w:header="0"/>
        </w:sectPr>
      </w:pPr>
    </w:p>
    <w:bookmarkStart w:id="61" w:name="page62"/>
    <w:bookmarkEnd w:id="61"/>
    <w:p>
      <w:pPr>
        <w:spacing w:after="0"/>
        <w:rPr>
          <w:sz w:val="20"/>
          <w:szCs w:val="20"/>
          <w:color w:val="auto"/>
        </w:rPr>
      </w:pPr>
      <w:r>
        <w:rPr>
          <w:rFonts w:ascii="Arial" w:cs="Arial" w:eastAsia="Arial" w:hAnsi="Arial"/>
          <w:sz w:val="21"/>
          <w:szCs w:val="21"/>
          <w:color w:val="auto"/>
        </w:rPr>
        <w:t>or other encumbrance of RSUs in violation of the provisions of this Section 6 and Section 9(a) of the Plan shall be void.</w:t>
      </w:r>
    </w:p>
    <w:p>
      <w:pPr>
        <w:spacing w:after="0" w:line="191" w:lineRule="exact"/>
        <w:rPr>
          <w:sz w:val="20"/>
          <w:szCs w:val="20"/>
          <w:color w:val="auto"/>
        </w:rPr>
      </w:pPr>
    </w:p>
    <w:p>
      <w:pPr>
        <w:ind w:right="40" w:firstLine="1296"/>
        <w:spacing w:after="0" w:line="243" w:lineRule="auto"/>
        <w:rPr>
          <w:sz w:val="20"/>
          <w:szCs w:val="20"/>
          <w:color w:val="auto"/>
        </w:rPr>
      </w:pPr>
      <w:r>
        <w:rPr>
          <w:rFonts w:ascii="Arial" w:cs="Arial" w:eastAsia="Arial" w:hAnsi="Arial"/>
          <w:sz w:val="19"/>
          <w:szCs w:val="19"/>
          <w:color w:val="010000"/>
        </w:rPr>
        <w:t xml:space="preserve">SECTION 7. </w:t>
      </w:r>
      <w:r>
        <w:rPr>
          <w:rFonts w:ascii="Arial" w:cs="Arial" w:eastAsia="Arial" w:hAnsi="Arial"/>
          <w:sz w:val="19"/>
          <w:szCs w:val="19"/>
          <w:u w:val="single" w:color="auto"/>
          <w:color w:val="000000"/>
        </w:rPr>
        <w:t>Withholding, Consents and Legends.</w:t>
      </w:r>
      <w:r>
        <w:rPr>
          <w:rFonts w:ascii="Arial" w:cs="Arial" w:eastAsia="Arial" w:hAnsi="Arial"/>
          <w:sz w:val="19"/>
          <w:szCs w:val="19"/>
          <w:color w:val="010000"/>
        </w:rPr>
        <w:t xml:space="preserve"> </w:t>
      </w:r>
      <w:r>
        <w:rPr>
          <w:rFonts w:ascii="Arial" w:cs="Arial" w:eastAsia="Arial" w:hAnsi="Arial"/>
          <w:sz w:val="19"/>
          <w:szCs w:val="19"/>
          <w:color w:val="000000"/>
        </w:rPr>
        <w:t>(a)</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Withholding.</w:t>
      </w:r>
      <w:r>
        <w:rPr>
          <w:rFonts w:ascii="Arial" w:cs="Arial" w:eastAsia="Arial" w:hAnsi="Arial"/>
          <w:sz w:val="19"/>
          <w:szCs w:val="19"/>
          <w:color w:val="010000"/>
        </w:rPr>
        <w:t xml:space="preserve"> </w:t>
      </w:r>
      <w:r>
        <w:rPr>
          <w:rFonts w:ascii="Arial" w:cs="Arial" w:eastAsia="Arial" w:hAnsi="Arial"/>
          <w:sz w:val="19"/>
          <w:szCs w:val="19"/>
          <w:color w:val="000000"/>
        </w:rPr>
        <w:t>The delivery of Shares or cash</w:t>
      </w:r>
      <w:r>
        <w:rPr>
          <w:rFonts w:ascii="Arial" w:cs="Arial" w:eastAsia="Arial" w:hAnsi="Arial"/>
          <w:sz w:val="19"/>
          <w:szCs w:val="19"/>
          <w:color w:val="010000"/>
        </w:rPr>
        <w:t xml:space="preserve"> </w:t>
      </w:r>
      <w:r>
        <w:rPr>
          <w:rFonts w:ascii="Arial" w:cs="Arial" w:eastAsia="Arial" w:hAnsi="Arial"/>
          <w:sz w:val="19"/>
          <w:szCs w:val="19"/>
          <w:color w:val="000000"/>
        </w:rPr>
        <w:t>pursuant to Section 3 of this Award Agreement is conditioned on satisfaction of any applicable withholding taxes in accordance with this Section 7(a) and Section 9(d) of the Plan. No later than the date as of which an amount first becomes includible in your gross income for Federal, state, local or foreign income tax purposes with respect to any RSUs, you shall pay to the Company, or make arrangements satisfactory to the Company regarding the payment of, any Federal, state, local and foreign taxes that are required by applicable laws and regulations to be withheld with respect to such amount. In the event that there is withholding tax liability in connection with the settlement of the RSUs, if authorized by the Committee in its sole discretion, you may satisfy, in whole or in part, any withholding tax liability by having the Company withhold from the number of Shares or cash you would be entitled to receive upon settlement of the RSUs, an amount in cash or a number of Shares having a Fair Market Value (which shall either have the meaning set forth in the Plan or shall have such other meaning as determined by the Company in accordance with applicable withholding requirements) equal to such withholding tax liability.</w:t>
      </w:r>
    </w:p>
    <w:p>
      <w:pPr>
        <w:spacing w:after="0" w:line="186" w:lineRule="exact"/>
        <w:rPr>
          <w:sz w:val="20"/>
          <w:szCs w:val="20"/>
          <w:color w:val="auto"/>
        </w:rPr>
      </w:pPr>
    </w:p>
    <w:p>
      <w:pPr>
        <w:ind w:right="220" w:firstLine="1304"/>
        <w:spacing w:after="0" w:line="250" w:lineRule="auto"/>
        <w:tabs>
          <w:tab w:leader="none" w:pos="1602"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xml:space="preserve"> Your rights in respect of the RSUs are conditioned on the receipt to the full satisfaction of the Committee of any required consents that the Committee may determine to be necessary or advisable (including your consent to the Company’s supplying to any third-party recordkeeper of the Plan such personal information as the Committee deems advisable to administer the Plan).</w:t>
      </w:r>
    </w:p>
    <w:p>
      <w:pPr>
        <w:spacing w:after="0" w:line="187" w:lineRule="exact"/>
        <w:rPr>
          <w:rFonts w:ascii="Arial" w:cs="Arial" w:eastAsia="Arial" w:hAnsi="Arial"/>
          <w:sz w:val="22"/>
          <w:szCs w:val="22"/>
          <w:color w:val="auto"/>
        </w:rPr>
      </w:pPr>
    </w:p>
    <w:p>
      <w:pPr>
        <w:ind w:right="440" w:firstLine="1304"/>
        <w:spacing w:after="0" w:line="250" w:lineRule="auto"/>
        <w:tabs>
          <w:tab w:leader="none" w:pos="159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xml:space="preserve"> The Company may affix to certificates for Shares issued pursuant to this Award Agreement any legend that the Committee determines to be necessary or advisable (including to reflect any restrictions to which you may be subject under any applicable securities laws). The Company may advise the transfer agent to place a stop order against any legended Shares.</w:t>
      </w:r>
    </w:p>
    <w:p>
      <w:pPr>
        <w:spacing w:after="0" w:line="161" w:lineRule="exact"/>
        <w:rPr>
          <w:sz w:val="20"/>
          <w:szCs w:val="20"/>
          <w:color w:val="auto"/>
        </w:rPr>
      </w:pPr>
    </w:p>
    <w:p>
      <w:pPr>
        <w:ind w:right="480" w:firstLine="1296"/>
        <w:spacing w:after="0" w:line="247" w:lineRule="auto"/>
        <w:rPr>
          <w:sz w:val="20"/>
          <w:szCs w:val="20"/>
          <w:color w:val="auto"/>
        </w:rPr>
      </w:pPr>
      <w:r>
        <w:rPr>
          <w:rFonts w:ascii="Arial" w:cs="Arial" w:eastAsia="Arial" w:hAnsi="Arial"/>
          <w:sz w:val="21"/>
          <w:szCs w:val="21"/>
          <w:color w:val="010000"/>
        </w:rPr>
        <w:t xml:space="preserve">SECTION 8. </w:t>
      </w:r>
      <w:r>
        <w:rPr>
          <w:rFonts w:ascii="Arial" w:cs="Arial" w:eastAsia="Arial" w:hAnsi="Arial"/>
          <w:sz w:val="21"/>
          <w:szCs w:val="21"/>
          <w:u w:val="single" w:color="auto"/>
          <w:color w:val="000000"/>
        </w:rPr>
        <w:t>Successors and Assigns of the Company.</w:t>
      </w:r>
      <w:r>
        <w:rPr>
          <w:rFonts w:ascii="Arial" w:cs="Arial" w:eastAsia="Arial" w:hAnsi="Arial"/>
          <w:sz w:val="21"/>
          <w:szCs w:val="21"/>
          <w:color w:val="010000"/>
        </w:rPr>
        <w:t xml:space="preserve"> </w:t>
      </w:r>
      <w:r>
        <w:rPr>
          <w:rFonts w:ascii="Arial" w:cs="Arial" w:eastAsia="Arial" w:hAnsi="Arial"/>
          <w:sz w:val="21"/>
          <w:szCs w:val="21"/>
          <w:color w:val="000000"/>
        </w:rPr>
        <w:t>The terms and conditions of this Award</w:t>
      </w:r>
      <w:r>
        <w:rPr>
          <w:rFonts w:ascii="Arial" w:cs="Arial" w:eastAsia="Arial" w:hAnsi="Arial"/>
          <w:sz w:val="21"/>
          <w:szCs w:val="21"/>
          <w:color w:val="010000"/>
        </w:rPr>
        <w:t xml:space="preserve"> </w:t>
      </w:r>
      <w:r>
        <w:rPr>
          <w:rFonts w:ascii="Arial" w:cs="Arial" w:eastAsia="Arial" w:hAnsi="Arial"/>
          <w:sz w:val="21"/>
          <w:szCs w:val="21"/>
          <w:color w:val="000000"/>
        </w:rPr>
        <w:t>Agreement shall be binding upon and shall inure to the benefit of the Company and its successors and assigns.</w:t>
      </w:r>
    </w:p>
    <w:p>
      <w:pPr>
        <w:spacing w:after="0" w:line="15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010000"/>
        </w:rPr>
        <w:t xml:space="preserve">SECTION 9. </w:t>
      </w:r>
      <w:r>
        <w:rPr>
          <w:rFonts w:ascii="Arial" w:cs="Arial" w:eastAsia="Arial" w:hAnsi="Arial"/>
          <w:sz w:val="22"/>
          <w:szCs w:val="22"/>
          <w:u w:val="single" w:color="auto"/>
          <w:color w:val="000000"/>
        </w:rPr>
        <w:t>Committee Discretion.</w:t>
      </w:r>
      <w:r>
        <w:rPr>
          <w:rFonts w:ascii="Arial" w:cs="Arial" w:eastAsia="Arial" w:hAnsi="Arial"/>
          <w:sz w:val="22"/>
          <w:szCs w:val="22"/>
          <w:color w:val="010000"/>
        </w:rPr>
        <w:t xml:space="preserve"> </w:t>
      </w:r>
      <w:r>
        <w:rPr>
          <w:rFonts w:ascii="Arial" w:cs="Arial" w:eastAsia="Arial" w:hAnsi="Arial"/>
          <w:sz w:val="22"/>
          <w:szCs w:val="22"/>
          <w:color w:val="000000"/>
        </w:rPr>
        <w:t>The Compensation Committee of the Board shall have full and</w:t>
      </w:r>
      <w:r>
        <w:rPr>
          <w:rFonts w:ascii="Arial" w:cs="Arial" w:eastAsia="Arial" w:hAnsi="Arial"/>
          <w:sz w:val="22"/>
          <w:szCs w:val="22"/>
          <w:color w:val="010000"/>
        </w:rPr>
        <w:t xml:space="preserve"> </w:t>
      </w:r>
      <w:r>
        <w:rPr>
          <w:rFonts w:ascii="Arial" w:cs="Arial" w:eastAsia="Arial" w:hAnsi="Arial"/>
          <w:sz w:val="22"/>
          <w:szCs w:val="22"/>
          <w:color w:val="000000"/>
        </w:rPr>
        <w:t>plenary discretion with respect to any actions to be taken or determinations to be made in connection with this Award Agreement, and its determinations shall be final, binding and conclusive.</w:t>
      </w:r>
    </w:p>
    <w:p>
      <w:pPr>
        <w:spacing w:after="0" w:line="159" w:lineRule="exact"/>
        <w:rPr>
          <w:sz w:val="20"/>
          <w:szCs w:val="20"/>
          <w:color w:val="auto"/>
        </w:rPr>
      </w:pPr>
    </w:p>
    <w:p>
      <w:pPr>
        <w:ind w:right="340" w:firstLine="1296"/>
        <w:spacing w:after="0" w:line="218" w:lineRule="auto"/>
        <w:rPr>
          <w:sz w:val="20"/>
          <w:szCs w:val="20"/>
          <w:color w:val="auto"/>
        </w:rPr>
      </w:pPr>
      <w:r>
        <w:rPr>
          <w:rFonts w:ascii="Arial" w:cs="Arial" w:eastAsia="Arial" w:hAnsi="Arial"/>
          <w:sz w:val="22"/>
          <w:szCs w:val="22"/>
          <w:color w:val="010000"/>
        </w:rPr>
        <w:t xml:space="preserve">SECTION 10. </w:t>
      </w:r>
      <w:r>
        <w:rPr>
          <w:rFonts w:ascii="Arial" w:cs="Arial" w:eastAsia="Arial" w:hAnsi="Arial"/>
          <w:sz w:val="22"/>
          <w:szCs w:val="22"/>
          <w:u w:val="single" w:color="auto"/>
          <w:color w:val="000000"/>
        </w:rPr>
        <w:t>Dispute Resolution.</w:t>
      </w:r>
      <w:r>
        <w:rPr>
          <w:rFonts w:ascii="Arial" w:cs="Arial" w:eastAsia="Arial" w:hAnsi="Arial"/>
          <w:sz w:val="22"/>
          <w:szCs w:val="22"/>
          <w:color w:val="010000"/>
        </w:rPr>
        <w:t xml:space="preserve"> </w:t>
      </w:r>
      <w:r>
        <w:rPr>
          <w:rFonts w:ascii="Arial" w:cs="Arial" w:eastAsia="Arial" w:hAnsi="Arial"/>
          <w:sz w:val="22"/>
          <w:szCs w:val="22"/>
          <w:color w:val="000000"/>
        </w:rPr>
        <w:t>(a)</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Jurisdiction and Venue.</w:t>
      </w:r>
      <w:r>
        <w:rPr>
          <w:rFonts w:ascii="Arial" w:cs="Arial" w:eastAsia="Arial" w:hAnsi="Arial"/>
          <w:sz w:val="22"/>
          <w:szCs w:val="22"/>
          <w:color w:val="010000"/>
        </w:rPr>
        <w:t xml:space="preserve"> </w:t>
      </w:r>
      <w:r>
        <w:rPr>
          <w:rFonts w:ascii="Arial" w:cs="Arial" w:eastAsia="Arial" w:hAnsi="Arial"/>
          <w:sz w:val="22"/>
          <w:szCs w:val="22"/>
          <w:color w:val="000000"/>
        </w:rPr>
        <w:t>Notwithstanding any provision in</w:t>
      </w:r>
      <w:r>
        <w:rPr>
          <w:rFonts w:ascii="Arial" w:cs="Arial" w:eastAsia="Arial" w:hAnsi="Arial"/>
          <w:sz w:val="22"/>
          <w:szCs w:val="22"/>
          <w:color w:val="010000"/>
        </w:rPr>
        <w:t xml:space="preserve"> </w:t>
      </w:r>
      <w:r>
        <w:rPr>
          <w:rFonts w:ascii="Arial" w:cs="Arial" w:eastAsia="Arial" w:hAnsi="Arial"/>
          <w:sz w:val="22"/>
          <w:szCs w:val="22"/>
          <w:color w:val="000000"/>
        </w:rPr>
        <w:t>your Employment Agreement, you and the Company irrevocably submit to the exclusive jurisdiction of (i) the United States District Court for the Southern District of New York and (ii) the courts of the State of New York for the purposes of any suit, action or other proceeding arising out of this Award Agreement or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B-6</w:t>
      </w:r>
    </w:p>
    <w:p>
      <w:pPr>
        <w:sectPr>
          <w:pgSz w:w="11900" w:h="16838" w:orient="portrait"/>
          <w:cols w:equalWidth="0" w:num="1">
            <w:col w:w="11220"/>
          </w:cols>
          <w:pgMar w:left="320" w:top="577" w:right="359" w:bottom="1440" w:gutter="0" w:footer="0" w:header="0"/>
        </w:sectPr>
      </w:pPr>
    </w:p>
    <w:bookmarkStart w:id="62" w:name="page63"/>
    <w:bookmarkEnd w:id="62"/>
    <w:p>
      <w:pPr>
        <w:spacing w:after="0" w:line="220" w:lineRule="auto"/>
        <w:rPr>
          <w:sz w:val="20"/>
          <w:szCs w:val="20"/>
          <w:color w:val="auto"/>
        </w:rPr>
      </w:pPr>
      <w:r>
        <w:rPr>
          <w:rFonts w:ascii="Arial" w:cs="Arial" w:eastAsia="Arial" w:hAnsi="Arial"/>
          <w:sz w:val="21"/>
          <w:szCs w:val="21"/>
          <w:color w:val="auto"/>
        </w:rPr>
        <w:t>the Plan. You and the Company agree to commence any such action, suit or proceeding either in the United States District Court for the Southern District of New York or, if such suit, action or other proceeding may not be brought in such court for jurisdictional reasons, in the courts of the State of New York. You and the Company further agree that service of any process, summons, notice or document by U.S. registered mail to the other party’s address set forth below shall be effective service of process for any action, suit or proceeding in New York with respect to any matters to which you have submitted to jurisdiction in this Section 10(a). You and the Company irrevocably and unconditionally waive any objection to the laying of venue of any action, suit or proceeding arising out of this Award Agreement or the Plan in (A) the United States District Court for the Southern District of New York or (B) the courts of the State of New York, and hereby and thereby further irrevocably and unconditionally waive and agree not to plead or claim in any such court that any such action, suit or proceeding brought in any such court has been brought in an inconvenient forum.</w:t>
      </w:r>
    </w:p>
    <w:p>
      <w:pPr>
        <w:spacing w:after="0" w:line="189" w:lineRule="exact"/>
        <w:rPr>
          <w:sz w:val="20"/>
          <w:szCs w:val="20"/>
          <w:color w:val="auto"/>
        </w:rPr>
      </w:pPr>
    </w:p>
    <w:p>
      <w:pPr>
        <w:ind w:left="740" w:right="80" w:hanging="3"/>
        <w:spacing w:after="0" w:line="253" w:lineRule="auto"/>
        <w:tabs>
          <w:tab w:leader="none" w:pos="1046"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xml:space="preserve"> You and the Company hereby waive, to the fullest extent permitted by applicable law, any right either of you may have to a trial by jury in respect to any litigation directly or indirectly arising out of, under or in connection with this Award Agreement or the Plan.</w:t>
      </w:r>
    </w:p>
    <w:p>
      <w:pPr>
        <w:spacing w:after="0" w:line="185" w:lineRule="exact"/>
        <w:rPr>
          <w:rFonts w:ascii="Arial" w:cs="Arial" w:eastAsia="Arial" w:hAnsi="Arial"/>
          <w:sz w:val="22"/>
          <w:szCs w:val="22"/>
          <w:color w:val="auto"/>
        </w:rPr>
      </w:pPr>
    </w:p>
    <w:p>
      <w:pPr>
        <w:ind w:right="260" w:firstLine="1304"/>
        <w:spacing w:after="0" w:line="250" w:lineRule="auto"/>
        <w:tabs>
          <w:tab w:leader="none" w:pos="1590"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xml:space="preserve"> You hereby agree to keep confidential the existence of, and any information concerning, a dispute described in this Section 10, except that you may disclose information concerning such dispute to the court that is considering such dispute or to your legal counsel (provided that such counsel agrees not to disclose any such information other than as necessary to the prosecution or defense of the dispute).</w:t>
      </w:r>
    </w:p>
    <w:p>
      <w:pPr>
        <w:spacing w:after="0" w:line="161" w:lineRule="exact"/>
        <w:rPr>
          <w:sz w:val="20"/>
          <w:szCs w:val="20"/>
          <w:color w:val="auto"/>
        </w:rPr>
      </w:pPr>
    </w:p>
    <w:p>
      <w:pPr>
        <w:ind w:right="180" w:firstLine="1296"/>
        <w:spacing w:after="0" w:line="229" w:lineRule="auto"/>
        <w:rPr>
          <w:sz w:val="20"/>
          <w:szCs w:val="20"/>
          <w:color w:val="auto"/>
        </w:rPr>
      </w:pPr>
      <w:r>
        <w:rPr>
          <w:rFonts w:ascii="Arial" w:cs="Arial" w:eastAsia="Arial" w:hAnsi="Arial"/>
          <w:sz w:val="21"/>
          <w:szCs w:val="21"/>
          <w:color w:val="010000"/>
        </w:rPr>
        <w:t xml:space="preserve">SECTION 11. </w:t>
      </w:r>
      <w:r>
        <w:rPr>
          <w:rFonts w:ascii="Arial" w:cs="Arial" w:eastAsia="Arial" w:hAnsi="Arial"/>
          <w:sz w:val="21"/>
          <w:szCs w:val="21"/>
          <w:u w:val="single" w:color="auto"/>
          <w:color w:val="000000"/>
        </w:rPr>
        <w:t>Notice.</w:t>
      </w:r>
      <w:r>
        <w:rPr>
          <w:rFonts w:ascii="Arial" w:cs="Arial" w:eastAsia="Arial" w:hAnsi="Arial"/>
          <w:sz w:val="21"/>
          <w:szCs w:val="21"/>
          <w:color w:val="010000"/>
        </w:rPr>
        <w:t xml:space="preserve"> </w:t>
      </w:r>
      <w:r>
        <w:rPr>
          <w:rFonts w:ascii="Arial" w:cs="Arial" w:eastAsia="Arial" w:hAnsi="Arial"/>
          <w:sz w:val="21"/>
          <w:szCs w:val="21"/>
          <w:color w:val="000000"/>
        </w:rPr>
        <w:t>All notices, requests, demands and other communications required or</w:t>
      </w:r>
      <w:r>
        <w:rPr>
          <w:rFonts w:ascii="Arial" w:cs="Arial" w:eastAsia="Arial" w:hAnsi="Arial"/>
          <w:sz w:val="21"/>
          <w:szCs w:val="21"/>
          <w:color w:val="010000"/>
        </w:rPr>
        <w:t xml:space="preserve"> </w:t>
      </w:r>
      <w:r>
        <w:rPr>
          <w:rFonts w:ascii="Arial" w:cs="Arial" w:eastAsia="Arial" w:hAnsi="Arial"/>
          <w:sz w:val="21"/>
          <w:szCs w:val="21"/>
          <w:color w:val="000000"/>
        </w:rPr>
        <w:t>permitted to be given under the terms of this Award Agreement shall be in writing and shall be deemed to have been duly given when delivered by hand or overnight courier or three Business Days after they have been mailed by U.S. certified or registered mail, return receipt requested, postage prepaid, addressed to the other party as set forth below:</w:t>
      </w:r>
    </w:p>
    <w:p>
      <w:pPr>
        <w:spacing w:after="0" w:line="334" w:lineRule="exact"/>
        <w:rPr>
          <w:sz w:val="20"/>
          <w:szCs w:val="20"/>
          <w:color w:val="auto"/>
        </w:rPr>
      </w:pPr>
    </w:p>
    <w:tbl>
      <w:tblPr>
        <w:tblLayout w:type="fixed"/>
        <w:tblInd w:w="680" w:type="dxa"/>
        <w:tblCellMar>
          <w:top w:w="0" w:type="dxa"/>
          <w:left w:w="0" w:type="dxa"/>
          <w:bottom w:w="0" w:type="dxa"/>
          <w:right w:w="0" w:type="dxa"/>
        </w:tblCellMar>
      </w:tblPr>
      <w:tr>
        <w:trPr>
          <w:trHeight w:val="257"/>
        </w:trPr>
        <w:tc>
          <w:tcPr>
            <w:tcW w:w="3300" w:type="dxa"/>
            <w:vAlign w:val="bottom"/>
          </w:tcPr>
          <w:p>
            <w:pPr>
              <w:spacing w:after="0"/>
              <w:rPr>
                <w:sz w:val="20"/>
                <w:szCs w:val="20"/>
                <w:color w:val="auto"/>
              </w:rPr>
            </w:pPr>
            <w:r>
              <w:rPr>
                <w:rFonts w:ascii="Arial" w:cs="Arial" w:eastAsia="Arial" w:hAnsi="Arial"/>
                <w:sz w:val="22"/>
                <w:szCs w:val="22"/>
                <w:color w:val="auto"/>
              </w:rPr>
              <w:t>If to the Company:</w:t>
            </w:r>
          </w:p>
        </w:tc>
        <w:tc>
          <w:tcPr>
            <w:tcW w:w="7100" w:type="dxa"/>
            <w:vAlign w:val="bottom"/>
          </w:tcPr>
          <w:p>
            <w:pPr>
              <w:ind w:left="1680"/>
              <w:spacing w:after="0"/>
              <w:rPr>
                <w:sz w:val="20"/>
                <w:szCs w:val="20"/>
                <w:color w:val="auto"/>
              </w:rPr>
            </w:pPr>
            <w:r>
              <w:rPr>
                <w:rFonts w:ascii="Arial" w:cs="Arial" w:eastAsia="Arial" w:hAnsi="Arial"/>
                <w:sz w:val="22"/>
                <w:szCs w:val="22"/>
                <w:color w:val="auto"/>
              </w:rPr>
              <w:t>XPO Logistics, Inc.</w:t>
            </w:r>
          </w:p>
        </w:tc>
      </w:tr>
      <w:tr>
        <w:trPr>
          <w:trHeight w:val="243"/>
        </w:trPr>
        <w:tc>
          <w:tcPr>
            <w:tcW w:w="3300" w:type="dxa"/>
            <w:vAlign w:val="bottom"/>
          </w:tcPr>
          <w:p>
            <w:pPr>
              <w:spacing w:after="0"/>
              <w:rPr>
                <w:sz w:val="21"/>
                <w:szCs w:val="21"/>
                <w:color w:val="auto"/>
              </w:rPr>
            </w:pPr>
          </w:p>
        </w:tc>
        <w:tc>
          <w:tcPr>
            <w:tcW w:w="7100" w:type="dxa"/>
            <w:vAlign w:val="bottom"/>
          </w:tcPr>
          <w:p>
            <w:pPr>
              <w:ind w:left="1680"/>
              <w:spacing w:after="0" w:line="243" w:lineRule="exact"/>
              <w:rPr>
                <w:sz w:val="20"/>
                <w:szCs w:val="20"/>
                <w:color w:val="auto"/>
              </w:rPr>
            </w:pPr>
            <w:r>
              <w:rPr>
                <w:rFonts w:ascii="Arial" w:cs="Arial" w:eastAsia="Arial" w:hAnsi="Arial"/>
                <w:sz w:val="22"/>
                <w:szCs w:val="22"/>
                <w:color w:val="auto"/>
              </w:rPr>
              <w:t>Five American Lane</w:t>
            </w:r>
          </w:p>
        </w:tc>
      </w:tr>
      <w:tr>
        <w:trPr>
          <w:trHeight w:val="243"/>
        </w:trPr>
        <w:tc>
          <w:tcPr>
            <w:tcW w:w="3300" w:type="dxa"/>
            <w:vAlign w:val="bottom"/>
          </w:tcPr>
          <w:p>
            <w:pPr>
              <w:spacing w:after="0"/>
              <w:rPr>
                <w:sz w:val="21"/>
                <w:szCs w:val="21"/>
                <w:color w:val="auto"/>
              </w:rPr>
            </w:pPr>
          </w:p>
        </w:tc>
        <w:tc>
          <w:tcPr>
            <w:tcW w:w="7100" w:type="dxa"/>
            <w:vAlign w:val="bottom"/>
          </w:tcPr>
          <w:p>
            <w:pPr>
              <w:ind w:left="1680"/>
              <w:spacing w:after="0" w:line="243" w:lineRule="exact"/>
              <w:rPr>
                <w:sz w:val="20"/>
                <w:szCs w:val="20"/>
                <w:color w:val="auto"/>
              </w:rPr>
            </w:pPr>
            <w:r>
              <w:rPr>
                <w:rFonts w:ascii="Arial" w:cs="Arial" w:eastAsia="Arial" w:hAnsi="Arial"/>
                <w:sz w:val="22"/>
                <w:szCs w:val="22"/>
                <w:color w:val="auto"/>
              </w:rPr>
              <w:t>Greenwich, CT 06831</w:t>
            </w:r>
          </w:p>
        </w:tc>
      </w:tr>
      <w:tr>
        <w:trPr>
          <w:trHeight w:val="274"/>
        </w:trPr>
        <w:tc>
          <w:tcPr>
            <w:tcW w:w="3300" w:type="dxa"/>
            <w:vAlign w:val="bottom"/>
          </w:tcPr>
          <w:p>
            <w:pPr>
              <w:spacing w:after="0"/>
              <w:rPr>
                <w:sz w:val="23"/>
                <w:szCs w:val="23"/>
                <w:color w:val="auto"/>
              </w:rPr>
            </w:pPr>
          </w:p>
        </w:tc>
        <w:tc>
          <w:tcPr>
            <w:tcW w:w="7100" w:type="dxa"/>
            <w:vAlign w:val="bottom"/>
          </w:tcPr>
          <w:p>
            <w:pPr>
              <w:ind w:left="1680"/>
              <w:spacing w:after="0"/>
              <w:rPr>
                <w:sz w:val="20"/>
                <w:szCs w:val="20"/>
                <w:color w:val="auto"/>
              </w:rPr>
            </w:pPr>
            <w:r>
              <w:rPr>
                <w:rFonts w:ascii="Arial" w:cs="Arial" w:eastAsia="Arial" w:hAnsi="Arial"/>
                <w:sz w:val="22"/>
                <w:szCs w:val="22"/>
                <w:color w:val="auto"/>
              </w:rPr>
              <w:t>Attention: Chief Human Resources Officer</w:t>
            </w:r>
          </w:p>
        </w:tc>
      </w:tr>
      <w:tr>
        <w:trPr>
          <w:trHeight w:val="563"/>
        </w:trPr>
        <w:tc>
          <w:tcPr>
            <w:tcW w:w="3300" w:type="dxa"/>
            <w:vAlign w:val="bottom"/>
          </w:tcPr>
          <w:p>
            <w:pPr>
              <w:spacing w:after="0"/>
              <w:rPr>
                <w:sz w:val="20"/>
                <w:szCs w:val="20"/>
                <w:color w:val="auto"/>
              </w:rPr>
            </w:pPr>
            <w:r>
              <w:rPr>
                <w:rFonts w:ascii="Arial" w:cs="Arial" w:eastAsia="Arial" w:hAnsi="Arial"/>
                <w:sz w:val="22"/>
                <w:szCs w:val="22"/>
                <w:color w:val="auto"/>
              </w:rPr>
              <w:t>If to you:</w:t>
            </w:r>
          </w:p>
        </w:tc>
        <w:tc>
          <w:tcPr>
            <w:tcW w:w="7100" w:type="dxa"/>
            <w:vAlign w:val="bottom"/>
          </w:tcPr>
          <w:p>
            <w:pPr>
              <w:ind w:left="1680"/>
              <w:spacing w:after="0"/>
              <w:rPr>
                <w:sz w:val="20"/>
                <w:szCs w:val="20"/>
                <w:color w:val="auto"/>
              </w:rPr>
            </w:pPr>
            <w:r>
              <w:rPr>
                <w:rFonts w:ascii="Arial" w:cs="Arial" w:eastAsia="Arial" w:hAnsi="Arial"/>
                <w:sz w:val="22"/>
                <w:szCs w:val="22"/>
                <w:color w:val="auto"/>
                <w:w w:val="87"/>
              </w:rPr>
              <w:t>To your address as most recently supplied to the Company and</w:t>
            </w:r>
          </w:p>
        </w:tc>
      </w:tr>
      <w:tr>
        <w:trPr>
          <w:trHeight w:val="274"/>
        </w:trPr>
        <w:tc>
          <w:tcPr>
            <w:tcW w:w="3300" w:type="dxa"/>
            <w:vAlign w:val="bottom"/>
          </w:tcPr>
          <w:p>
            <w:pPr>
              <w:spacing w:after="0"/>
              <w:rPr>
                <w:sz w:val="23"/>
                <w:szCs w:val="23"/>
                <w:color w:val="auto"/>
              </w:rPr>
            </w:pPr>
          </w:p>
        </w:tc>
        <w:tc>
          <w:tcPr>
            <w:tcW w:w="7100" w:type="dxa"/>
            <w:vAlign w:val="bottom"/>
          </w:tcPr>
          <w:p>
            <w:pPr>
              <w:ind w:left="1680"/>
              <w:spacing w:after="0"/>
              <w:rPr>
                <w:sz w:val="20"/>
                <w:szCs w:val="20"/>
                <w:color w:val="auto"/>
              </w:rPr>
            </w:pPr>
            <w:r>
              <w:rPr>
                <w:rFonts w:ascii="Arial" w:cs="Arial" w:eastAsia="Arial" w:hAnsi="Arial"/>
                <w:sz w:val="22"/>
                <w:szCs w:val="22"/>
                <w:color w:val="auto"/>
              </w:rPr>
              <w:t>set forth in the Company’s records</w:t>
            </w:r>
          </w:p>
        </w:tc>
      </w:tr>
    </w:tbl>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The parties may change the address to which notices under this Award Agreement shall be sent by providing written notice to the other in the manner specified above.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B-7</w:t>
      </w:r>
    </w:p>
    <w:p>
      <w:pPr>
        <w:sectPr>
          <w:pgSz w:w="11900" w:h="16838" w:orient="portrait"/>
          <w:cols w:equalWidth="0" w:num="1">
            <w:col w:w="11220"/>
          </w:cols>
          <w:pgMar w:left="320" w:top="577" w:right="359" w:bottom="1440" w:gutter="0" w:footer="0" w:header="0"/>
        </w:sectPr>
      </w:pPr>
    </w:p>
    <w:bookmarkStart w:id="63" w:name="page64"/>
    <w:bookmarkEnd w:id="63"/>
    <w:p>
      <w:pPr>
        <w:ind w:right="200" w:firstLine="1296"/>
        <w:spacing w:after="0" w:line="223" w:lineRule="auto"/>
        <w:rPr>
          <w:sz w:val="20"/>
          <w:szCs w:val="20"/>
          <w:color w:val="auto"/>
        </w:rPr>
      </w:pPr>
      <w:r>
        <w:rPr>
          <w:rFonts w:ascii="Arial" w:cs="Arial" w:eastAsia="Arial" w:hAnsi="Arial"/>
          <w:sz w:val="22"/>
          <w:szCs w:val="22"/>
          <w:color w:val="010000"/>
        </w:rPr>
        <w:t xml:space="preserve">SECTION 12. </w:t>
      </w:r>
      <w:r>
        <w:rPr>
          <w:rFonts w:ascii="Arial" w:cs="Arial" w:eastAsia="Arial" w:hAnsi="Arial"/>
          <w:sz w:val="22"/>
          <w:szCs w:val="22"/>
          <w:u w:val="single" w:color="auto"/>
          <w:color w:val="000000"/>
        </w:rPr>
        <w:t>Governing Law.</w:t>
      </w:r>
      <w:r>
        <w:rPr>
          <w:rFonts w:ascii="Arial" w:cs="Arial" w:eastAsia="Arial" w:hAnsi="Arial"/>
          <w:sz w:val="22"/>
          <w:szCs w:val="22"/>
          <w:color w:val="010000"/>
        </w:rPr>
        <w:t xml:space="preserve"> </w:t>
      </w:r>
      <w:r>
        <w:rPr>
          <w:rFonts w:ascii="Arial" w:cs="Arial" w:eastAsia="Arial" w:hAnsi="Arial"/>
          <w:sz w:val="22"/>
          <w:szCs w:val="22"/>
          <w:color w:val="000000"/>
        </w:rPr>
        <w:t>This Award Agreement shall be deemed to be made in the State of</w:t>
      </w:r>
      <w:r>
        <w:rPr>
          <w:rFonts w:ascii="Arial" w:cs="Arial" w:eastAsia="Arial" w:hAnsi="Arial"/>
          <w:sz w:val="22"/>
          <w:szCs w:val="22"/>
          <w:color w:val="010000"/>
        </w:rPr>
        <w:t xml:space="preserve"> </w:t>
      </w:r>
      <w:r>
        <w:rPr>
          <w:rFonts w:ascii="Arial" w:cs="Arial" w:eastAsia="Arial" w:hAnsi="Arial"/>
          <w:sz w:val="22"/>
          <w:szCs w:val="22"/>
          <w:color w:val="000000"/>
        </w:rPr>
        <w:t>Delaware, and the validity, construction and effect of this Award Agreement in all respects shall be determined in accordance with the laws of the State of Delaware, without giving effect to the conflict of law principles thereof.</w:t>
      </w:r>
    </w:p>
    <w:p>
      <w:pPr>
        <w:spacing w:after="0" w:line="159" w:lineRule="exact"/>
        <w:rPr>
          <w:sz w:val="20"/>
          <w:szCs w:val="20"/>
          <w:color w:val="auto"/>
        </w:rPr>
      </w:pPr>
    </w:p>
    <w:p>
      <w:pPr>
        <w:ind w:right="160" w:firstLine="1296"/>
        <w:spacing w:after="0" w:line="216" w:lineRule="auto"/>
        <w:rPr>
          <w:sz w:val="20"/>
          <w:szCs w:val="20"/>
          <w:color w:val="auto"/>
        </w:rPr>
      </w:pPr>
      <w:r>
        <w:rPr>
          <w:rFonts w:ascii="Arial" w:cs="Arial" w:eastAsia="Arial" w:hAnsi="Arial"/>
          <w:sz w:val="22"/>
          <w:szCs w:val="22"/>
          <w:color w:val="010000"/>
        </w:rPr>
        <w:t xml:space="preserve">SECTION 13. </w:t>
      </w:r>
      <w:r>
        <w:rPr>
          <w:rFonts w:ascii="Arial" w:cs="Arial" w:eastAsia="Arial" w:hAnsi="Arial"/>
          <w:sz w:val="22"/>
          <w:szCs w:val="22"/>
          <w:u w:val="single" w:color="auto"/>
          <w:color w:val="000000"/>
        </w:rPr>
        <w:t>Headings and Construction.</w:t>
      </w:r>
      <w:r>
        <w:rPr>
          <w:rFonts w:ascii="Arial" w:cs="Arial" w:eastAsia="Arial" w:hAnsi="Arial"/>
          <w:sz w:val="22"/>
          <w:szCs w:val="22"/>
          <w:color w:val="010000"/>
        </w:rPr>
        <w:t xml:space="preserve"> </w:t>
      </w:r>
      <w:r>
        <w:rPr>
          <w:rFonts w:ascii="Arial" w:cs="Arial" w:eastAsia="Arial" w:hAnsi="Arial"/>
          <w:sz w:val="22"/>
          <w:szCs w:val="22"/>
          <w:color w:val="000000"/>
        </w:rPr>
        <w:t>Headings are given to the Sections and subsections of</w:t>
      </w:r>
      <w:r>
        <w:rPr>
          <w:rFonts w:ascii="Arial" w:cs="Arial" w:eastAsia="Arial" w:hAnsi="Arial"/>
          <w:sz w:val="22"/>
          <w:szCs w:val="22"/>
          <w:color w:val="010000"/>
        </w:rPr>
        <w:t xml:space="preserve"> </w:t>
      </w:r>
      <w:r>
        <w:rPr>
          <w:rFonts w:ascii="Arial" w:cs="Arial" w:eastAsia="Arial" w:hAnsi="Arial"/>
          <w:sz w:val="22"/>
          <w:szCs w:val="22"/>
          <w:color w:val="000000"/>
        </w:rPr>
        <w:t>this Award Agreement solely as a convenience to facilitate reference. Such headings shall not be deemed in any way material or relevant to the construction or interpretation of this Award Agreement or any provision thereof. Whenever the words “include”, “includes” or “including” are used in this Award Agreement, they shall be deemed to be followed by the words “but not limited to”. The term “or” is not exclusive.</w:t>
      </w:r>
    </w:p>
    <w:p>
      <w:pPr>
        <w:spacing w:after="0" w:line="158" w:lineRule="exact"/>
        <w:rPr>
          <w:sz w:val="20"/>
          <w:szCs w:val="20"/>
          <w:color w:val="auto"/>
        </w:rPr>
      </w:pPr>
    </w:p>
    <w:p>
      <w:pPr>
        <w:ind w:right="20" w:firstLine="1296"/>
        <w:spacing w:after="0" w:line="212" w:lineRule="auto"/>
        <w:rPr>
          <w:sz w:val="20"/>
          <w:szCs w:val="20"/>
          <w:color w:val="auto"/>
        </w:rPr>
      </w:pPr>
      <w:r>
        <w:rPr>
          <w:rFonts w:ascii="Arial" w:cs="Arial" w:eastAsia="Arial" w:hAnsi="Arial"/>
          <w:sz w:val="22"/>
          <w:szCs w:val="22"/>
          <w:color w:val="010000"/>
        </w:rPr>
        <w:t xml:space="preserve">SECTION 14. </w:t>
      </w:r>
      <w:r>
        <w:rPr>
          <w:rFonts w:ascii="Arial" w:cs="Arial" w:eastAsia="Arial" w:hAnsi="Arial"/>
          <w:sz w:val="22"/>
          <w:szCs w:val="22"/>
          <w:u w:val="single" w:color="auto"/>
          <w:color w:val="000000"/>
        </w:rPr>
        <w:t>Amendment of this Award Agreement.</w:t>
      </w:r>
      <w:r>
        <w:rPr>
          <w:rFonts w:ascii="Arial" w:cs="Arial" w:eastAsia="Arial" w:hAnsi="Arial"/>
          <w:sz w:val="22"/>
          <w:szCs w:val="22"/>
          <w:color w:val="010000"/>
        </w:rPr>
        <w:t xml:space="preserve"> </w:t>
      </w:r>
      <w:r>
        <w:rPr>
          <w:rFonts w:ascii="Arial" w:cs="Arial" w:eastAsia="Arial" w:hAnsi="Arial"/>
          <w:sz w:val="22"/>
          <w:szCs w:val="22"/>
          <w:color w:val="000000"/>
        </w:rPr>
        <w:t>The Committee may waive any conditions or</w:t>
      </w:r>
      <w:r>
        <w:rPr>
          <w:rFonts w:ascii="Arial" w:cs="Arial" w:eastAsia="Arial" w:hAnsi="Arial"/>
          <w:sz w:val="22"/>
          <w:szCs w:val="22"/>
          <w:color w:val="010000"/>
        </w:rPr>
        <w:t xml:space="preserve"> </w:t>
      </w:r>
      <w:r>
        <w:rPr>
          <w:rFonts w:ascii="Arial" w:cs="Arial" w:eastAsia="Arial" w:hAnsi="Arial"/>
          <w:sz w:val="22"/>
          <w:szCs w:val="22"/>
          <w:color w:val="000000"/>
        </w:rPr>
        <w:t xml:space="preserve">rights under, amend any terms of, or alter, suspend, discontinue, cancel or terminate this Award Agreement prospectively or retroactively; </w:t>
      </w:r>
      <w:r>
        <w:rPr>
          <w:rFonts w:ascii="Arial" w:cs="Arial" w:eastAsia="Arial" w:hAnsi="Arial"/>
          <w:sz w:val="22"/>
          <w:szCs w:val="22"/>
          <w:u w:val="single" w:color="auto"/>
          <w:color w:val="000000"/>
        </w:rPr>
        <w:t>provided</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however</w:t>
      </w:r>
      <w:r>
        <w:rPr>
          <w:rFonts w:ascii="Arial" w:cs="Arial" w:eastAsia="Arial" w:hAnsi="Arial"/>
          <w:sz w:val="22"/>
          <w:szCs w:val="22"/>
          <w:color w:val="000000"/>
        </w:rPr>
        <w:t>, that, except as set forth in Section 15(d) of this Award Agreement, any such waiver, amendment, alteration, suspension, discontinuance, cancelation or termination that would materially and adversely impair your rights under this Award Agreement shall not to that extent be effective without your consent (it being understood, notwithstanding the foregoing proviso, that this Award Agreement and the RSUs shall be subject to the provisions of Section 7(c) of the Plan).</w:t>
      </w:r>
    </w:p>
    <w:p>
      <w:pPr>
        <w:spacing w:after="0" w:line="16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010000"/>
        </w:rPr>
        <w:t xml:space="preserve">SECTION 15. </w:t>
      </w:r>
      <w:r>
        <w:rPr>
          <w:rFonts w:ascii="Arial" w:cs="Arial" w:eastAsia="Arial" w:hAnsi="Arial"/>
          <w:sz w:val="22"/>
          <w:szCs w:val="22"/>
          <w:u w:val="single" w:color="auto"/>
          <w:color w:val="000000"/>
        </w:rPr>
        <w:t>Section 409A.</w:t>
      </w:r>
      <w:r>
        <w:rPr>
          <w:rFonts w:ascii="Arial" w:cs="Arial" w:eastAsia="Arial" w:hAnsi="Arial"/>
          <w:sz w:val="22"/>
          <w:szCs w:val="22"/>
          <w:color w:val="010000"/>
        </w:rPr>
        <w:t xml:space="preserve"> </w:t>
      </w:r>
      <w:r>
        <w:rPr>
          <w:rFonts w:ascii="Arial" w:cs="Arial" w:eastAsia="Arial" w:hAnsi="Arial"/>
          <w:sz w:val="22"/>
          <w:szCs w:val="22"/>
          <w:color w:val="000000"/>
        </w:rPr>
        <w:t>(a) It is intended that the provisions of this Award Agreement comply</w:t>
      </w:r>
      <w:r>
        <w:rPr>
          <w:rFonts w:ascii="Arial" w:cs="Arial" w:eastAsia="Arial" w:hAnsi="Arial"/>
          <w:sz w:val="22"/>
          <w:szCs w:val="22"/>
          <w:color w:val="010000"/>
        </w:rPr>
        <w:t xml:space="preserve"> </w:t>
      </w:r>
      <w:r>
        <w:rPr>
          <w:rFonts w:ascii="Arial" w:cs="Arial" w:eastAsia="Arial" w:hAnsi="Arial"/>
          <w:sz w:val="22"/>
          <w:szCs w:val="22"/>
          <w:color w:val="000000"/>
        </w:rPr>
        <w:t>with Section 409A, and all provisions of this Award Agreement shall be construed and interpreted in a manner consistent with the requirements for avoiding taxes or penalties under Section 409A.</w:t>
      </w:r>
    </w:p>
    <w:p>
      <w:pPr>
        <w:spacing w:after="0" w:line="186"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Neither you nor any of your creditors or beneficiaries shall have the right to subject any deferred compensation (within the</w:t>
      </w:r>
    </w:p>
    <w:p>
      <w:pPr>
        <w:spacing w:after="0" w:line="55" w:lineRule="exact"/>
        <w:rPr>
          <w:rFonts w:ascii="Arial" w:cs="Arial" w:eastAsia="Arial" w:hAnsi="Arial"/>
          <w:sz w:val="19"/>
          <w:szCs w:val="19"/>
          <w:color w:val="auto"/>
        </w:rPr>
      </w:pPr>
    </w:p>
    <w:p>
      <w:pPr>
        <w:ind w:right="20"/>
        <w:spacing w:after="0" w:line="259" w:lineRule="auto"/>
        <w:rPr>
          <w:rFonts w:ascii="Arial" w:cs="Arial" w:eastAsia="Arial" w:hAnsi="Arial"/>
          <w:sz w:val="19"/>
          <w:szCs w:val="19"/>
          <w:color w:val="auto"/>
        </w:rPr>
      </w:pPr>
      <w:r>
        <w:rPr>
          <w:rFonts w:ascii="Arial" w:cs="Arial" w:eastAsia="Arial" w:hAnsi="Arial"/>
          <w:sz w:val="21"/>
          <w:szCs w:val="21"/>
          <w:color w:val="auto"/>
        </w:rPr>
        <w:t>meaning of Section 409A) payable under this Award Agreement to any anticipation, alienation, sale, transfer, assignment, pledge, encumbrance, attachment or garnishment. Except as permitted under Section 409A, any deferred compensation (within the meaning of Section 409A) payable to you or for your benefit under this Award Agreement may not be reduced by, or offset against, any amount owing by you to the Company or any of its Affiliates.</w:t>
      </w:r>
    </w:p>
    <w:p>
      <w:pPr>
        <w:spacing w:after="0" w:line="181" w:lineRule="exact"/>
        <w:rPr>
          <w:rFonts w:ascii="Arial" w:cs="Arial" w:eastAsia="Arial" w:hAnsi="Arial"/>
          <w:sz w:val="19"/>
          <w:szCs w:val="19"/>
          <w:color w:val="auto"/>
        </w:rPr>
      </w:pPr>
    </w:p>
    <w:p>
      <w:pPr>
        <w:ind w:right="40" w:firstLine="1304"/>
        <w:spacing w:after="0" w:line="292" w:lineRule="auto"/>
        <w:tabs>
          <w:tab w:leader="none" w:pos="1590" w:val="left"/>
        </w:tabs>
        <w:numPr>
          <w:ilvl w:val="1"/>
          <w:numId w:val="51"/>
        </w:numPr>
        <w:rPr>
          <w:rFonts w:ascii="Arial" w:cs="Arial" w:eastAsia="Arial" w:hAnsi="Arial"/>
          <w:sz w:val="19"/>
          <w:szCs w:val="19"/>
          <w:color w:val="auto"/>
        </w:rPr>
      </w:pPr>
      <w:r>
        <w:rPr>
          <w:rFonts w:ascii="Arial" w:cs="Arial" w:eastAsia="Arial" w:hAnsi="Arial"/>
          <w:sz w:val="19"/>
          <w:szCs w:val="19"/>
          <w:color w:val="auto"/>
        </w:rPr>
        <w:t>If, at the time of your separation from service (within the meaning of Section 409A), (i) you shall be a specified employee (within the meaning of Section 409A and using the identification methodology selected by the Company from time to time) and (ii) 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(except as otherwise provided in your Employment Agreement), on the first Business Day after such six-month period.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B-8</w:t>
      </w:r>
    </w:p>
    <w:p>
      <w:pPr>
        <w:sectPr>
          <w:pgSz w:w="11900" w:h="16838" w:orient="portrait"/>
          <w:cols w:equalWidth="0" w:num="1">
            <w:col w:w="11220"/>
          </w:cols>
          <w:pgMar w:left="320" w:top="577" w:right="359" w:bottom="1440" w:gutter="0" w:footer="0" w:header="0"/>
        </w:sectPr>
      </w:pPr>
    </w:p>
    <w:bookmarkStart w:id="64" w:name="page65"/>
    <w:bookmarkEnd w:id="64"/>
    <w:p>
      <w:pPr>
        <w:ind w:right="380"/>
        <w:spacing w:after="0" w:line="263" w:lineRule="auto"/>
        <w:rPr>
          <w:sz w:val="20"/>
          <w:szCs w:val="20"/>
          <w:color w:val="auto"/>
        </w:rPr>
      </w:pPr>
      <w:r>
        <w:rPr>
          <w:rFonts w:ascii="Arial" w:cs="Arial" w:eastAsia="Arial" w:hAnsi="Arial"/>
          <w:sz w:val="22"/>
          <w:szCs w:val="22"/>
          <w:color w:val="auto"/>
        </w:rPr>
        <w:t>For purposes of Section 409A, each payment hereunder will be deemed to be a separate payment as permitted under Treasury Regulation Section 1.409A-2(b)(2)(iii).</w:t>
      </w:r>
    </w:p>
    <w:p>
      <w:pPr>
        <w:spacing w:after="0" w:line="175" w:lineRule="exact"/>
        <w:rPr>
          <w:sz w:val="20"/>
          <w:szCs w:val="20"/>
          <w:color w:val="auto"/>
        </w:rPr>
      </w:pPr>
    </w:p>
    <w:p>
      <w:pPr>
        <w:ind w:firstLine="1304"/>
        <w:spacing w:after="0" w:line="294" w:lineRule="auto"/>
        <w:tabs>
          <w:tab w:leader="none" w:pos="1602" w:val="left"/>
        </w:tabs>
        <w:numPr>
          <w:ilvl w:val="0"/>
          <w:numId w:val="52"/>
        </w:numPr>
        <w:rPr>
          <w:rFonts w:ascii="Arial" w:cs="Arial" w:eastAsia="Arial" w:hAnsi="Arial"/>
          <w:sz w:val="19"/>
          <w:szCs w:val="19"/>
          <w:color w:val="auto"/>
        </w:rPr>
      </w:pPr>
      <w:r>
        <w:rPr>
          <w:rFonts w:ascii="Arial" w:cs="Arial" w:eastAsia="Arial" w:hAnsi="Arial"/>
          <w:sz w:val="19"/>
          <w:szCs w:val="19"/>
          <w:color w:val="auto"/>
        </w:rPr>
        <w:t>Notwithstanding any provision of this Award Agreement to the contrary, in light of the uncertainty with respect to the proper application of Section 409A, the Company reserves the right to make amendments to this Award Agreement as the Company deems necessary or desirable to avoid the imposition of taxes or penalties under Section 409A. In any case, you shall be solely responsible and liable for the satisfaction of all taxes and penalties that may be imposed on you or for your account in connection with this Award Agreement (including any taxes and penalties under Section 409A), and neither the Company nor any of its Affiliates shall have any obligation to indemnify or otherwise hold you harmless from any or all of such taxes or penalties.</w:t>
      </w:r>
    </w:p>
    <w:p>
      <w:pPr>
        <w:spacing w:after="0" w:line="122" w:lineRule="exact"/>
        <w:rPr>
          <w:sz w:val="20"/>
          <w:szCs w:val="20"/>
          <w:color w:val="auto"/>
        </w:rPr>
      </w:pPr>
    </w:p>
    <w:p>
      <w:pPr>
        <w:ind w:right="100" w:firstLine="1296"/>
        <w:spacing w:after="0" w:line="218" w:lineRule="auto"/>
        <w:rPr>
          <w:sz w:val="20"/>
          <w:szCs w:val="20"/>
          <w:color w:val="auto"/>
        </w:rPr>
      </w:pPr>
      <w:r>
        <w:rPr>
          <w:rFonts w:ascii="Arial" w:cs="Arial" w:eastAsia="Arial" w:hAnsi="Arial"/>
          <w:sz w:val="22"/>
          <w:szCs w:val="22"/>
          <w:color w:val="010000"/>
        </w:rPr>
        <w:t xml:space="preserve">SECTION 16. </w:t>
      </w:r>
      <w:r>
        <w:rPr>
          <w:rFonts w:ascii="Arial" w:cs="Arial" w:eastAsia="Arial" w:hAnsi="Arial"/>
          <w:sz w:val="22"/>
          <w:szCs w:val="22"/>
          <w:u w:val="single" w:color="auto"/>
          <w:color w:val="000000"/>
        </w:rPr>
        <w:t>Counterparts.</w:t>
      </w:r>
      <w:r>
        <w:rPr>
          <w:rFonts w:ascii="Arial" w:cs="Arial" w:eastAsia="Arial" w:hAnsi="Arial"/>
          <w:sz w:val="22"/>
          <w:szCs w:val="22"/>
          <w:color w:val="010000"/>
        </w:rPr>
        <w:t xml:space="preserve"> </w:t>
      </w:r>
      <w:r>
        <w:rPr>
          <w:rFonts w:ascii="Arial" w:cs="Arial" w:eastAsia="Arial" w:hAnsi="Arial"/>
          <w:sz w:val="22"/>
          <w:szCs w:val="22"/>
          <w:color w:val="000000"/>
        </w:rPr>
        <w:t>This Award Agreement may be signed in counterparts, each of which</w:t>
      </w:r>
      <w:r>
        <w:rPr>
          <w:rFonts w:ascii="Arial" w:cs="Arial" w:eastAsia="Arial" w:hAnsi="Arial"/>
          <w:sz w:val="22"/>
          <w:szCs w:val="22"/>
          <w:color w:val="010000"/>
        </w:rPr>
        <w:t xml:space="preserve"> </w:t>
      </w:r>
      <w:r>
        <w:rPr>
          <w:rFonts w:ascii="Arial" w:cs="Arial" w:eastAsia="Arial" w:hAnsi="Arial"/>
          <w:sz w:val="22"/>
          <w:szCs w:val="22"/>
          <w:color w:val="000000"/>
        </w:rPr>
        <w:t>shall be an original, with the same effect as if the signatures thereto and hereto were upon the same instrument. You and the Company hereby acknowledge and agree that signatures delivered by facsimile or electronic means (including by “pdf”) shall be deemed effective for all purposes.</w:t>
      </w:r>
    </w:p>
    <w:p>
      <w:pPr>
        <w:spacing w:after="0" w:line="161" w:lineRule="exact"/>
        <w:rPr>
          <w:sz w:val="20"/>
          <w:szCs w:val="20"/>
          <w:color w:val="auto"/>
        </w:rPr>
      </w:pPr>
    </w:p>
    <w:p>
      <w:pPr>
        <w:ind w:firstLine="1296"/>
        <w:spacing w:after="0"/>
        <w:rPr>
          <w:sz w:val="20"/>
          <w:szCs w:val="20"/>
          <w:color w:val="auto"/>
        </w:rPr>
      </w:pPr>
      <w:r>
        <w:rPr>
          <w:rFonts w:ascii="Arial" w:cs="Arial" w:eastAsia="Arial" w:hAnsi="Arial"/>
          <w:sz w:val="19"/>
          <w:szCs w:val="19"/>
          <w:color w:val="010000"/>
        </w:rPr>
        <w:t xml:space="preserve">SECTION 17. </w:t>
      </w:r>
      <w:r>
        <w:rPr>
          <w:rFonts w:ascii="Arial" w:cs="Arial" w:eastAsia="Arial" w:hAnsi="Arial"/>
          <w:sz w:val="19"/>
          <w:szCs w:val="19"/>
          <w:u w:val="single" w:color="auto"/>
          <w:color w:val="000000"/>
        </w:rPr>
        <w:t>Section 280G</w:t>
      </w:r>
      <w:r>
        <w:rPr>
          <w:rFonts w:ascii="Arial" w:cs="Arial" w:eastAsia="Arial" w:hAnsi="Arial"/>
          <w:sz w:val="19"/>
          <w:szCs w:val="19"/>
          <w:color w:val="000000"/>
        </w:rPr>
        <w:t>. Notwithstanding anything in this Award Agreement to the contrary</w:t>
      </w:r>
      <w:r>
        <w:rPr>
          <w:rFonts w:ascii="Arial" w:cs="Arial" w:eastAsia="Arial" w:hAnsi="Arial"/>
          <w:sz w:val="19"/>
          <w:szCs w:val="19"/>
          <w:color w:val="010000"/>
        </w:rPr>
        <w:t xml:space="preserve"> </w:t>
      </w:r>
      <w:r>
        <w:rPr>
          <w:rFonts w:ascii="Arial" w:cs="Arial" w:eastAsia="Arial" w:hAnsi="Arial"/>
          <w:sz w:val="19"/>
          <w:szCs w:val="19"/>
          <w:color w:val="000000"/>
        </w:rPr>
        <w:t>and regardless of whether this Award Agreement has otherwise expired or terminated, unless otherwise provided in your Employment Agreement, in the event that any payments, distributions, benefits or entitlements of any type payable to you (“</w:t>
      </w:r>
      <w:r>
        <w:rPr>
          <w:rFonts w:ascii="Arial" w:cs="Arial" w:eastAsia="Arial" w:hAnsi="Arial"/>
          <w:sz w:val="19"/>
          <w:szCs w:val="19"/>
          <w:u w:val="single" w:color="auto"/>
          <w:color w:val="000000"/>
        </w:rPr>
        <w:t>CIC</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Benefits</w:t>
      </w:r>
      <w:r>
        <w:rPr>
          <w:rFonts w:ascii="Arial" w:cs="Arial" w:eastAsia="Arial" w:hAnsi="Arial"/>
          <w:sz w:val="19"/>
          <w:szCs w:val="19"/>
          <w:color w:val="000000"/>
        </w:rPr>
        <w:t>”) (i) constitute “parachute payments” within the meaning of Section 280G of the Code, and (ii) but for this paragraph would be subject to the excise tax imposed by Section 4999 of the Code (the “</w:t>
      </w:r>
      <w:r>
        <w:rPr>
          <w:rFonts w:ascii="Arial" w:cs="Arial" w:eastAsia="Arial" w:hAnsi="Arial"/>
          <w:sz w:val="19"/>
          <w:szCs w:val="19"/>
          <w:u w:val="single" w:color="auto"/>
          <w:color w:val="000000"/>
        </w:rPr>
        <w:t>Excise Tax</w:t>
      </w:r>
      <w:r>
        <w:rPr>
          <w:rFonts w:ascii="Arial" w:cs="Arial" w:eastAsia="Arial" w:hAnsi="Arial"/>
          <w:sz w:val="19"/>
          <w:szCs w:val="19"/>
          <w:color w:val="000000"/>
        </w:rPr>
        <w:t>”), then your CIC Benefits shall be reduced to such lesser amount (the “</w:t>
      </w:r>
      <w:r>
        <w:rPr>
          <w:rFonts w:ascii="Arial" w:cs="Arial" w:eastAsia="Arial" w:hAnsi="Arial"/>
          <w:sz w:val="19"/>
          <w:szCs w:val="19"/>
          <w:u w:val="single" w:color="auto"/>
          <w:color w:val="000000"/>
        </w:rPr>
        <w:t>Reduced Amount</w:t>
      </w:r>
      <w:r>
        <w:rPr>
          <w:rFonts w:ascii="Arial" w:cs="Arial" w:eastAsia="Arial" w:hAnsi="Arial"/>
          <w:sz w:val="19"/>
          <w:szCs w:val="19"/>
          <w:color w:val="000000"/>
        </w:rPr>
        <w:t xml:space="preserve">”) that would result in no portion of such benefits being subject to the Excise Tax;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such amounts shall not be so reduced if the Company determines, based on the advice of Golden Parachute Tax Solutions LLC, or such other nationally recognized certified public accounting firm as may be designated by the Company (the “</w:t>
      </w:r>
      <w:r>
        <w:rPr>
          <w:rFonts w:ascii="Arial" w:cs="Arial" w:eastAsia="Arial" w:hAnsi="Arial"/>
          <w:sz w:val="19"/>
          <w:szCs w:val="19"/>
          <w:u w:val="single" w:color="auto"/>
          <w:color w:val="000000"/>
        </w:rPr>
        <w:t>Accounting Firm</w:t>
      </w:r>
      <w:r>
        <w:rPr>
          <w:rFonts w:ascii="Arial" w:cs="Arial" w:eastAsia="Arial" w:hAnsi="Arial"/>
          <w:sz w:val="19"/>
          <w:szCs w:val="19"/>
          <w:color w:val="000000"/>
        </w:rPr>
        <w:t>”), that without such reduction you would be entitled to receive and retain, on a net after tax basis (including, without limitation, any excise taxes payable under Section 4999 of the Code), an amount that is greater than the amount, on a net after tax basis, that you would be entitled to retain upon receipt of the Reduced Amount. Unless the Company and you otherwise agree in writing, any determination required under this Section 17 shall be made in writing in good faith by the Accounting Firm. In the event of a reduction of benefits hereunder, benefits shall be reduced by first reducing or eliminating the portion of the CIC Benefits that are payable under this Award Agreement and then by reducing or eliminating the portion of the CIC Benefits that are payable in cash and then by reducing or eliminating the non-cash portion of the CIC Benefits, in each case, in reverse order beginning with payments or benefits which are to be paid the furthest in the future. For purposes of making the calculations required by this Section 17, the Accounting Firm may make reasonable assumptions and approximations concerning applicable taxes and may rely on reasonable, good faith interpretations concerning the application of the Code, and other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B-9</w:t>
      </w:r>
    </w:p>
    <w:p>
      <w:pPr>
        <w:sectPr>
          <w:pgSz w:w="11900" w:h="16838" w:orient="portrait"/>
          <w:cols w:equalWidth="0" w:num="1">
            <w:col w:w="11240"/>
          </w:cols>
          <w:pgMar w:left="320" w:top="604" w:right="339" w:bottom="1440" w:gutter="0" w:footer="0" w:header="0"/>
        </w:sectPr>
      </w:pPr>
    </w:p>
    <w:bookmarkStart w:id="65" w:name="page66"/>
    <w:bookmarkEnd w:id="65"/>
    <w:p>
      <w:pPr>
        <w:spacing w:after="0" w:line="212" w:lineRule="auto"/>
        <w:rPr>
          <w:sz w:val="20"/>
          <w:szCs w:val="20"/>
          <w:color w:val="auto"/>
        </w:rPr>
      </w:pPr>
      <w:r>
        <w:rPr>
          <w:rFonts w:ascii="Arial" w:cs="Arial" w:eastAsia="Arial" w:hAnsi="Arial"/>
          <w:sz w:val="22"/>
          <w:szCs w:val="22"/>
          <w:color w:val="auto"/>
        </w:rPr>
        <w:t>legal authority. The Company and you shall furnish to the Accounting Firm such information and documents as the Accounting Firm may reasonably require in order to make a determination under this Section 17, and the Company shall bear the cost of all fees the Accounting Firm charges in connection with any calculations contemplated by this Section 17. In connection with making determinations under this Section 17, the Accounting Firm shall take into account the value of any reasonable compensation for services to be rendered by you before or after the Change of Control, including any non-competition provisions that may apply to you and the Company shall cooperate in the valuation of any such services, including any non-competition provisions.</w:t>
      </w:r>
    </w:p>
    <w:p>
      <w:pPr>
        <w:spacing w:after="0" w:line="164" w:lineRule="exact"/>
        <w:rPr>
          <w:sz w:val="20"/>
          <w:szCs w:val="20"/>
          <w:color w:val="auto"/>
        </w:rPr>
      </w:pPr>
    </w:p>
    <w:p>
      <w:pPr>
        <w:ind w:right="20" w:firstLine="1296"/>
        <w:spacing w:after="0" w:line="221" w:lineRule="auto"/>
        <w:rPr>
          <w:sz w:val="20"/>
          <w:szCs w:val="20"/>
          <w:color w:val="auto"/>
        </w:rPr>
      </w:pPr>
      <w:r>
        <w:rPr>
          <w:rFonts w:ascii="Arial" w:cs="Arial" w:eastAsia="Arial" w:hAnsi="Arial"/>
          <w:sz w:val="21"/>
          <w:szCs w:val="21"/>
          <w:color w:val="010000"/>
        </w:rPr>
        <w:t xml:space="preserve">SECTION 18. </w:t>
      </w:r>
      <w:r>
        <w:rPr>
          <w:rFonts w:ascii="Arial" w:cs="Arial" w:eastAsia="Arial" w:hAnsi="Arial"/>
          <w:sz w:val="21"/>
          <w:szCs w:val="21"/>
          <w:u w:val="single" w:color="auto"/>
          <w:color w:val="000000"/>
        </w:rPr>
        <w:t>Trade Monitoring Policy.</w:t>
      </w:r>
      <w:r>
        <w:rPr>
          <w:rFonts w:ascii="Arial" w:cs="Arial" w:eastAsia="Arial" w:hAnsi="Arial"/>
          <w:sz w:val="21"/>
          <w:szCs w:val="21"/>
          <w:color w:val="010000"/>
        </w:rPr>
        <w:t xml:space="preserve"> </w:t>
      </w:r>
      <w:r>
        <w:rPr>
          <w:rFonts w:ascii="Arial" w:cs="Arial" w:eastAsia="Arial" w:hAnsi="Arial"/>
          <w:sz w:val="21"/>
          <w:szCs w:val="21"/>
          <w:color w:val="000000"/>
        </w:rPr>
        <w:t>You are required to maintain a securities brokerage</w:t>
      </w:r>
      <w:r>
        <w:rPr>
          <w:rFonts w:ascii="Arial" w:cs="Arial" w:eastAsia="Arial" w:hAnsi="Arial"/>
          <w:sz w:val="21"/>
          <w:szCs w:val="21"/>
          <w:color w:val="010000"/>
        </w:rPr>
        <w:t xml:space="preserve"> </w:t>
      </w:r>
      <w:r>
        <w:rPr>
          <w:rFonts w:ascii="Arial" w:cs="Arial" w:eastAsia="Arial" w:hAnsi="Arial"/>
          <w:sz w:val="21"/>
          <w:szCs w:val="21"/>
          <w:color w:val="000000"/>
        </w:rPr>
        <w:t>account with the Company’s preferred broker in order to receive any Shares issuable under this Award, in accordance with the Company securities trade monitoring policy (the “Trade Monitoring Policy”). The Company’s preferred broker is currently Morgan Stanley. Any Shares issued to you pursuant to this Award Agreement shall be deposited in your account with the Company’s preferred broker in accordance with the terms set forth herein. You hereby acknowledge that you have reviewed, and agree to comply with, the terms of the Trade Monitoring Policy, and that this Award, and the value of any Shares issued pursuant to this Award Agreement, shall be subject to forfeiture or recoupment by the Company, as applicable, in the event of your noncompliance with the Trade Monitoring Policy, as it may be in effect from time to time.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B-10</w:t>
      </w:r>
    </w:p>
    <w:p>
      <w:pPr>
        <w:sectPr>
          <w:pgSz w:w="11900" w:h="16838" w:orient="portrait"/>
          <w:cols w:equalWidth="0" w:num="1">
            <w:col w:w="11200"/>
          </w:cols>
          <w:pgMar w:left="320" w:top="577" w:right="379" w:bottom="1440" w:gutter="0" w:footer="0" w:header="0"/>
        </w:sectPr>
      </w:pPr>
    </w:p>
    <w:bookmarkStart w:id="66" w:name="page67"/>
    <w:bookmarkEnd w:id="66"/>
    <w:p>
      <w:pPr>
        <w:ind w:left="180"/>
        <w:spacing w:after="0"/>
        <w:rPr>
          <w:sz w:val="20"/>
          <w:szCs w:val="20"/>
          <w:color w:val="auto"/>
        </w:rPr>
      </w:pPr>
      <w:r>
        <w:rPr>
          <w:rFonts w:ascii="Arial" w:cs="Arial" w:eastAsia="Arial" w:hAnsi="Arial"/>
          <w:sz w:val="19"/>
          <w:szCs w:val="19"/>
          <w:color w:val="auto"/>
        </w:rPr>
        <w:t>The parties have duly executed this Award Agreement as of the date first written above.</w:t>
      </w:r>
    </w:p>
    <w:p>
      <w:pPr>
        <w:sectPr>
          <w:pgSz w:w="11900" w:h="16838" w:orient="portrait"/>
          <w:cols w:equalWidth="0" w:num="1">
            <w:col w:w="9019"/>
          </w:cols>
          <w:pgMar w:left="1440" w:top="6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XPO LOGISTICS, INC.</w:t>
      </w:r>
    </w:p>
    <w:p>
      <w:pPr>
        <w:spacing w:after="0" w:line="200" w:lineRule="exact"/>
        <w:rPr>
          <w:sz w:val="20"/>
          <w:szCs w:val="20"/>
          <w:color w:val="auto"/>
        </w:rPr>
      </w:pPr>
    </w:p>
    <w:p>
      <w:pPr>
        <w:spacing w:after="0" w:line="249"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229870</wp:posOffset>
            </wp:positionV>
            <wp:extent cx="1954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62"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Name: Meghan Henson</w:t>
      </w:r>
    </w:p>
    <w:p>
      <w:pPr>
        <w:spacing w:after="0" w:line="44" w:lineRule="exact"/>
        <w:rPr>
          <w:sz w:val="20"/>
          <w:szCs w:val="20"/>
          <w:color w:val="auto"/>
        </w:rPr>
      </w:pPr>
    </w:p>
    <w:p>
      <w:pPr>
        <w:ind w:left="3400"/>
        <w:spacing w:after="0"/>
        <w:rPr>
          <w:sz w:val="20"/>
          <w:szCs w:val="20"/>
          <w:color w:val="auto"/>
        </w:rPr>
      </w:pPr>
      <w:r>
        <w:rPr>
          <w:rFonts w:ascii="Arial" w:cs="Arial" w:eastAsia="Arial" w:hAnsi="Arial"/>
          <w:sz w:val="19"/>
          <w:szCs w:val="19"/>
          <w:color w:val="auto"/>
        </w:rPr>
        <w:t>Title: Chief Human Resources</w:t>
      </w:r>
    </w:p>
    <w:p>
      <w:pPr>
        <w:spacing w:after="0" w:line="4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KURT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538480</wp:posOffset>
            </wp:positionV>
            <wp:extent cx="20745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RSU Agreement]</w:t>
      </w:r>
    </w:p>
    <w:p>
      <w:pPr>
        <w:sectPr>
          <w:pgSz w:w="11900" w:h="16838" w:orient="portrait"/>
          <w:cols w:equalWidth="0" w:num="1">
            <w:col w:w="9019"/>
          </w:cols>
          <w:pgMar w:left="1440" w:top="604" w:right="1440" w:bottom="1440" w:gutter="0" w:footer="0" w:header="0"/>
          <w:type w:val="continuous"/>
        </w:sectPr>
      </w:pPr>
    </w:p>
    <w:bookmarkStart w:id="67" w:name="page68"/>
    <w:bookmarkEnd w:id="67"/>
    <w:p>
      <w:pPr>
        <w:ind w:left="5192"/>
        <w:spacing w:after="0"/>
        <w:rPr>
          <w:sz w:val="20"/>
          <w:szCs w:val="20"/>
          <w:color w:val="auto"/>
        </w:rPr>
      </w:pPr>
      <w:r>
        <w:rPr>
          <w:rFonts w:ascii="Arial" w:cs="Arial" w:eastAsia="Arial" w:hAnsi="Arial"/>
          <w:sz w:val="21"/>
          <w:szCs w:val="2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374650</wp:posOffset>
            </wp:positionV>
            <wp:extent cx="7140575" cy="360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360045"/>
                    </a:xfrm>
                    <a:prstGeom prst="rect">
                      <a:avLst/>
                    </a:prstGeom>
                    <a:noFill/>
                  </pic:spPr>
                </pic:pic>
              </a:graphicData>
            </a:graphic>
          </wp:anchor>
        </w:drawing>
      </w:r>
    </w:p>
    <w:p>
      <w:pPr>
        <w:sectPr>
          <w:pgSz w:w="11900" w:h="16838" w:orient="portrait"/>
          <w:cols w:equalWidth="0" w:num="1">
            <w:col w:w="10131"/>
          </w:cols>
          <w:pgMar w:left="328" w:top="1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
        <w:spacing w:after="0" w:line="250" w:lineRule="auto"/>
        <w:rPr>
          <w:sz w:val="20"/>
          <w:szCs w:val="20"/>
          <w:color w:val="auto"/>
        </w:rPr>
      </w:pPr>
      <w:r>
        <w:rPr>
          <w:rFonts w:ascii="Arial" w:cs="Arial" w:eastAsia="Arial" w:hAnsi="Arial"/>
          <w:sz w:val="22"/>
          <w:szCs w:val="22"/>
          <w:color w:val="auto"/>
        </w:rPr>
        <w:t>Number of RSUs Granted Hereunder: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color w:val="auto"/>
        </w:rPr>
        <w:t>[●] RSUs</w:t>
      </w:r>
      <w:r>
        <w:rPr>
          <w:rFonts w:ascii="Arial" w:cs="Arial" w:eastAsia="Arial" w:hAnsi="Arial"/>
          <w:sz w:val="25"/>
          <w:szCs w:val="25"/>
          <w:color w:val="auto"/>
          <w:vertAlign w:val="superscript"/>
        </w:rPr>
        <w:t>1</w:t>
      </w:r>
    </w:p>
    <w:p>
      <w:pPr>
        <w:spacing w:after="0" w:line="439" w:lineRule="exact"/>
        <w:rPr>
          <w:sz w:val="20"/>
          <w:szCs w:val="20"/>
          <w:color w:val="auto"/>
        </w:rPr>
      </w:pPr>
    </w:p>
    <w:p>
      <w:pPr>
        <w:sectPr>
          <w:pgSz w:w="11900" w:h="16838" w:orient="portrait"/>
          <w:cols w:equalWidth="0" w:num="2">
            <w:col w:w="2292" w:space="340"/>
            <w:col w:w="7499"/>
          </w:cols>
          <w:pgMar w:left="328" w:top="11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12" w:hanging="112"/>
        <w:spacing w:after="0"/>
        <w:tabs>
          <w:tab w:leader="none" w:pos="112" w:val="left"/>
        </w:tabs>
        <w:numPr>
          <w:ilvl w:val="0"/>
          <w:numId w:val="53"/>
        </w:numPr>
        <w:rPr>
          <w:rFonts w:ascii="Arial" w:cs="Arial" w:eastAsia="Arial" w:hAnsi="Arial"/>
          <w:sz w:val="26"/>
          <w:szCs w:val="26"/>
          <w:color w:val="auto"/>
          <w:vertAlign w:val="superscript"/>
        </w:rPr>
      </w:pPr>
      <w:r>
        <w:rPr>
          <w:rFonts w:ascii="Arial" w:cs="Arial" w:eastAsia="Arial" w:hAnsi="Arial"/>
          <w:sz w:val="19"/>
          <w:szCs w:val="19"/>
          <w:color w:val="auto"/>
        </w:rPr>
        <w:t>Number to correspond to grant date value of $2,000,000.</w:t>
      </w:r>
    </w:p>
    <w:p>
      <w:pPr>
        <w:sectPr>
          <w:pgSz w:w="11900" w:h="16838" w:orient="portrait"/>
          <w:cols w:equalWidth="0" w:num="1">
            <w:col w:w="10131"/>
          </w:cols>
          <w:pgMar w:left="328" w:top="1117" w:right="1440"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22"/>
          <w:szCs w:val="22"/>
          <w:u w:val="single" w:color="auto"/>
          <w:color w:val="auto"/>
        </w:rPr>
        <w:t>EXHIBIT 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PSU AWARD AGREEMENT</w:t>
      </w:r>
    </w:p>
    <w:p>
      <w:pPr>
        <w:spacing w:after="0" w:line="233" w:lineRule="exact"/>
        <w:rPr>
          <w:sz w:val="20"/>
          <w:szCs w:val="20"/>
          <w:color w:val="auto"/>
        </w:rPr>
      </w:pPr>
    </w:p>
    <w:p>
      <w:pPr>
        <w:ind w:left="1960" w:firstLine="1296"/>
        <w:spacing w:after="0" w:line="250" w:lineRule="auto"/>
        <w:rPr>
          <w:sz w:val="20"/>
          <w:szCs w:val="20"/>
          <w:color w:val="auto"/>
        </w:rPr>
      </w:pPr>
      <w:r>
        <w:rPr>
          <w:rFonts w:ascii="Arial" w:cs="Arial" w:eastAsia="Arial" w:hAnsi="Arial"/>
          <w:sz w:val="22"/>
          <w:szCs w:val="22"/>
          <w:color w:val="auto"/>
        </w:rPr>
        <w:t>PERFORMANCE-BASED RESTRICTED STOCK UNIT AWARD AGREEMENT UNDER THE XPO LOGISTICS, INC. 2016 OMNIBUS INCENTIVE COMPENSATION PLAN, dated as of [DATE] (the “</w:t>
      </w:r>
      <w:r>
        <w:rPr>
          <w:rFonts w:ascii="Arial" w:cs="Arial" w:eastAsia="Arial" w:hAnsi="Arial"/>
          <w:sz w:val="22"/>
          <w:szCs w:val="22"/>
          <w:u w:val="single" w:color="auto"/>
          <w:color w:val="auto"/>
        </w:rPr>
        <w:t>Grant Date</w:t>
      </w:r>
      <w:r>
        <w:rPr>
          <w:rFonts w:ascii="Arial" w:cs="Arial" w:eastAsia="Arial" w:hAnsi="Arial"/>
          <w:sz w:val="22"/>
          <w:szCs w:val="22"/>
          <w:color w:val="auto"/>
        </w:rPr>
        <w:t>”) between XPO LOGISTICS,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Kurt Rogers.</w:t>
      </w:r>
    </w:p>
    <w:p>
      <w:pPr>
        <w:spacing w:after="0" w:line="188" w:lineRule="exact"/>
        <w:rPr>
          <w:sz w:val="20"/>
          <w:szCs w:val="20"/>
          <w:color w:val="auto"/>
        </w:rPr>
      </w:pPr>
    </w:p>
    <w:p>
      <w:pPr>
        <w:ind w:right="200" w:firstLine="1296"/>
        <w:spacing w:after="0" w:line="294" w:lineRule="auto"/>
        <w:rPr>
          <w:sz w:val="20"/>
          <w:szCs w:val="20"/>
          <w:color w:val="auto"/>
        </w:rPr>
      </w:pPr>
      <w:r>
        <w:rPr>
          <w:rFonts w:ascii="Arial" w:cs="Arial" w:eastAsia="Arial" w:hAnsi="Arial"/>
          <w:sz w:val="19"/>
          <w:szCs w:val="19"/>
          <w:color w:val="auto"/>
        </w:rPr>
        <w:t>This Performance-Based Restricted Stock Unit Award Agreement (this “</w:t>
      </w:r>
      <w:r>
        <w:rPr>
          <w:rFonts w:ascii="Arial" w:cs="Arial" w:eastAsia="Arial" w:hAnsi="Arial"/>
          <w:sz w:val="19"/>
          <w:szCs w:val="19"/>
          <w:u w:val="single" w:color="auto"/>
          <w:color w:val="auto"/>
        </w:rPr>
        <w:t>Award Agreement</w:t>
      </w:r>
      <w:r>
        <w:rPr>
          <w:rFonts w:ascii="Arial" w:cs="Arial" w:eastAsia="Arial" w:hAnsi="Arial"/>
          <w:sz w:val="19"/>
          <w:szCs w:val="19"/>
          <w:color w:val="auto"/>
        </w:rPr>
        <w:t>”) sets forth the terms and conditions of an award of performance-based restricted stock units with respect to a number of shares of the Company’s Common Stock, $0.001 par value (“</w:t>
      </w:r>
      <w:r>
        <w:rPr>
          <w:rFonts w:ascii="Arial" w:cs="Arial" w:eastAsia="Arial" w:hAnsi="Arial"/>
          <w:sz w:val="19"/>
          <w:szCs w:val="19"/>
          <w:u w:val="single" w:color="auto"/>
          <w:color w:val="auto"/>
        </w:rPr>
        <w:t>Share</w:t>
      </w:r>
      <w:r>
        <w:rPr>
          <w:rFonts w:ascii="Arial" w:cs="Arial" w:eastAsia="Arial" w:hAnsi="Arial"/>
          <w:sz w:val="19"/>
          <w:szCs w:val="19"/>
          <w:color w:val="auto"/>
        </w:rPr>
        <w:t>”) set forth on Exhibit A (this “</w:t>
      </w:r>
      <w:r>
        <w:rPr>
          <w:rFonts w:ascii="Arial" w:cs="Arial" w:eastAsia="Arial" w:hAnsi="Arial"/>
          <w:sz w:val="19"/>
          <w:szCs w:val="19"/>
          <w:u w:val="single" w:color="auto"/>
          <w:color w:val="auto"/>
        </w:rPr>
        <w:t>Award</w:t>
      </w:r>
      <w:r>
        <w:rPr>
          <w:rFonts w:ascii="Arial" w:cs="Arial" w:eastAsia="Arial" w:hAnsi="Arial"/>
          <w:sz w:val="19"/>
          <w:szCs w:val="19"/>
          <w:color w:val="auto"/>
        </w:rPr>
        <w:t>”), that is subject to the terms and conditions specified herein (each such restricted stock unit, an “</w:t>
      </w:r>
      <w:r>
        <w:rPr>
          <w:rFonts w:ascii="Arial" w:cs="Arial" w:eastAsia="Arial" w:hAnsi="Arial"/>
          <w:sz w:val="19"/>
          <w:szCs w:val="19"/>
          <w:u w:val="single" w:color="auto"/>
          <w:color w:val="auto"/>
        </w:rPr>
        <w:t>RSU</w:t>
      </w:r>
      <w:r>
        <w:rPr>
          <w:rFonts w:ascii="Arial" w:cs="Arial" w:eastAsia="Arial" w:hAnsi="Arial"/>
          <w:sz w:val="19"/>
          <w:szCs w:val="19"/>
          <w:color w:val="auto"/>
        </w:rPr>
        <w:t>”) and that are granted to you under the XPO Logistics, Inc. 2016 Omnibus Incentive Compensation Plan (the “</w:t>
      </w:r>
      <w:r>
        <w:rPr>
          <w:rFonts w:ascii="Arial" w:cs="Arial" w:eastAsia="Arial" w:hAnsi="Arial"/>
          <w:sz w:val="19"/>
          <w:szCs w:val="19"/>
          <w:u w:val="single" w:color="auto"/>
          <w:color w:val="auto"/>
        </w:rPr>
        <w:t>Plan</w:t>
      </w:r>
      <w:r>
        <w:rPr>
          <w:rFonts w:ascii="Arial" w:cs="Arial" w:eastAsia="Arial" w:hAnsi="Arial"/>
          <w:sz w:val="19"/>
          <w:szCs w:val="19"/>
          <w:color w:val="auto"/>
        </w:rPr>
        <w:t>”). This Award provides you with the opportunity to earn, subject to the terms of this Award Agreement, Shares or cash, as set forth in Section 3 of this Award Agreement.</w:t>
      </w:r>
    </w:p>
    <w:p>
      <w:pPr>
        <w:spacing w:after="0" w:line="149" w:lineRule="exact"/>
        <w:rPr>
          <w:sz w:val="20"/>
          <w:szCs w:val="20"/>
          <w:color w:val="auto"/>
        </w:rPr>
      </w:pPr>
    </w:p>
    <w:p>
      <w:pPr>
        <w:ind w:right="60" w:firstLine="1296"/>
        <w:spacing w:after="0" w:line="250" w:lineRule="auto"/>
        <w:rPr>
          <w:sz w:val="20"/>
          <w:szCs w:val="20"/>
          <w:color w:val="auto"/>
        </w:rPr>
      </w:pPr>
      <w:r>
        <w:rPr>
          <w:rFonts w:ascii="Arial" w:cs="Arial" w:eastAsia="Arial" w:hAnsi="Arial"/>
          <w:sz w:val="22"/>
          <w:szCs w:val="22"/>
          <w:color w:val="auto"/>
        </w:rPr>
        <w:t>THIS AWARD IS SUBJECT TO ALL TERMS AND CONDITIONS OF THE PLAN AND THIS AWARD AGREEMENT, INCLUDING THE DISPUTE RESOLUTION PROVISIONS SET FORTH IN SECTION 10 OF THIS AWARD AGREEMENT. BY SIGNING YOUR NAME BELOW, YOU SHALL HAVE CONFIRMED YOUR ACCEPTANCE OF THE TERMS AND CONDITIONS OF THIS AWARD AGREEMENT.</w:t>
      </w:r>
    </w:p>
    <w:p>
      <w:pPr>
        <w:spacing w:after="0" w:line="161" w:lineRule="exact"/>
        <w:rPr>
          <w:sz w:val="20"/>
          <w:szCs w:val="20"/>
          <w:color w:val="auto"/>
        </w:rPr>
      </w:pPr>
    </w:p>
    <w:p>
      <w:pPr>
        <w:jc w:val="both"/>
        <w:ind w:right="180" w:firstLine="1296"/>
        <w:spacing w:after="0" w:line="223" w:lineRule="auto"/>
        <w:rPr>
          <w:sz w:val="20"/>
          <w:szCs w:val="20"/>
          <w:color w:val="auto"/>
        </w:rPr>
      </w:pPr>
      <w:r>
        <w:rPr>
          <w:rFonts w:ascii="Arial" w:cs="Arial" w:eastAsia="Arial" w:hAnsi="Arial"/>
          <w:sz w:val="22"/>
          <w:szCs w:val="22"/>
          <w:color w:val="010000"/>
        </w:rPr>
        <w:t xml:space="preserve">SECTION 1. </w:t>
      </w:r>
      <w:r>
        <w:rPr>
          <w:rFonts w:ascii="Arial" w:cs="Arial" w:eastAsia="Arial" w:hAnsi="Arial"/>
          <w:sz w:val="22"/>
          <w:szCs w:val="22"/>
          <w:u w:val="single" w:color="auto"/>
          <w:color w:val="000000"/>
        </w:rPr>
        <w:t>The Plan</w:t>
      </w:r>
      <w:r>
        <w:rPr>
          <w:rFonts w:ascii="Arial" w:cs="Arial" w:eastAsia="Arial" w:hAnsi="Arial"/>
          <w:sz w:val="22"/>
          <w:szCs w:val="22"/>
          <w:color w:val="000000"/>
        </w:rPr>
        <w:t>. This Award is made pursuant to the Plan, all the terms of which are hereby</w:t>
      </w:r>
      <w:r>
        <w:rPr>
          <w:rFonts w:ascii="Arial" w:cs="Arial" w:eastAsia="Arial" w:hAnsi="Arial"/>
          <w:sz w:val="22"/>
          <w:szCs w:val="22"/>
          <w:color w:val="010000"/>
        </w:rPr>
        <w:t xml:space="preserve"> </w:t>
      </w:r>
      <w:r>
        <w:rPr>
          <w:rFonts w:ascii="Arial" w:cs="Arial" w:eastAsia="Arial" w:hAnsi="Arial"/>
          <w:sz w:val="22"/>
          <w:szCs w:val="22"/>
          <w:color w:val="000000"/>
        </w:rPr>
        <w:t>incorporated in this Award Agreement, including the provisions of Section 6(e) of the Plan. In the event of any conflict between the terms of the Plan and the terms of this Award Agreement, the terms of the Plan shall govern.</w:t>
      </w:r>
    </w:p>
    <w:p>
      <w:pPr>
        <w:spacing w:after="0" w:line="159" w:lineRule="exact"/>
        <w:rPr>
          <w:sz w:val="20"/>
          <w:szCs w:val="20"/>
          <w:color w:val="auto"/>
        </w:rPr>
      </w:pPr>
    </w:p>
    <w:p>
      <w:pPr>
        <w:jc w:val="both"/>
        <w:ind w:right="200" w:firstLine="1296"/>
        <w:spacing w:after="0" w:line="223" w:lineRule="auto"/>
        <w:rPr>
          <w:sz w:val="20"/>
          <w:szCs w:val="20"/>
          <w:color w:val="auto"/>
        </w:rPr>
      </w:pPr>
      <w:r>
        <w:rPr>
          <w:rFonts w:ascii="Arial" w:cs="Arial" w:eastAsia="Arial" w:hAnsi="Arial"/>
          <w:sz w:val="22"/>
          <w:szCs w:val="22"/>
          <w:color w:val="010000"/>
        </w:rPr>
        <w:t xml:space="preserve">SECTION 2. </w:t>
      </w:r>
      <w:r>
        <w:rPr>
          <w:rFonts w:ascii="Arial" w:cs="Arial" w:eastAsia="Arial" w:hAnsi="Arial"/>
          <w:sz w:val="22"/>
          <w:szCs w:val="22"/>
          <w:u w:val="single" w:color="auto"/>
          <w:color w:val="000000"/>
        </w:rPr>
        <w:t>Definitions</w:t>
      </w:r>
      <w:r>
        <w:rPr>
          <w:rFonts w:ascii="Arial" w:cs="Arial" w:eastAsia="Arial" w:hAnsi="Arial"/>
          <w:sz w:val="22"/>
          <w:szCs w:val="22"/>
          <w:color w:val="000000"/>
        </w:rPr>
        <w:t>. Capitalized terms used in this Award Agreement that are not defined in</w:t>
      </w:r>
      <w:r>
        <w:rPr>
          <w:rFonts w:ascii="Arial" w:cs="Arial" w:eastAsia="Arial" w:hAnsi="Arial"/>
          <w:sz w:val="22"/>
          <w:szCs w:val="22"/>
          <w:color w:val="010000"/>
        </w:rPr>
        <w:t xml:space="preserve"> </w:t>
      </w:r>
      <w:r>
        <w:rPr>
          <w:rFonts w:ascii="Arial" w:cs="Arial" w:eastAsia="Arial" w:hAnsi="Arial"/>
          <w:sz w:val="22"/>
          <w:szCs w:val="22"/>
          <w:color w:val="000000"/>
        </w:rPr>
        <w:t>this Award Agreement have the meanings as used or defined in the Plan. As used in this Award Agreement, the following terms have the meanings set forth below:</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EPS Performance Goal</w:t>
      </w:r>
      <w:r>
        <w:rPr>
          <w:rFonts w:ascii="Arial" w:cs="Arial" w:eastAsia="Arial" w:hAnsi="Arial"/>
          <w:sz w:val="22"/>
          <w:szCs w:val="22"/>
          <w:color w:val="auto"/>
        </w:rPr>
        <w:t xml:space="preserve">” has the meaning given to such term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220" w:lineRule="exact"/>
        <w:rPr>
          <w:sz w:val="20"/>
          <w:szCs w:val="20"/>
          <w:color w:val="auto"/>
        </w:rPr>
      </w:pPr>
    </w:p>
    <w:p>
      <w:pPr>
        <w:ind w:right="160"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your (i) gross negligence or willful failure to perform your duties hereunder or willful refusal to follow any lawful directive of the Chief Executive Officer of the Company or the Board of Directors of the Company; (ii) abuse of or dependency on alcohol or drugs (illicit or otherwise) that adversely affects your performance of duties hereunder; (iii) commission of any fraud, embezzlement, theft or dishonesty, or any deliberate misappropriation of money or other assets of the Company; (iv) breach of any term of any Employment Agreement to which you may be party or any</w:t>
      </w:r>
    </w:p>
    <w:p>
      <w:pPr>
        <w:sectPr>
          <w:pgSz w:w="11900" w:h="16838" w:orient="portrait"/>
          <w:cols w:equalWidth="0" w:num="1">
            <w:col w:w="11240"/>
          </w:cols>
          <w:pgMar w:left="320" w:top="1131" w:right="339" w:bottom="1440" w:gutter="0" w:footer="0" w:header="0"/>
        </w:sectPr>
      </w:pPr>
    </w:p>
    <w:bookmarkStart w:id="69" w:name="page70"/>
    <w:bookmarkEnd w:id="69"/>
    <w:p>
      <w:pPr>
        <w:spacing w:after="0" w:line="286" w:lineRule="auto"/>
        <w:rPr>
          <w:sz w:val="20"/>
          <w:szCs w:val="20"/>
          <w:color w:val="auto"/>
        </w:rPr>
      </w:pPr>
      <w:r>
        <w:rPr>
          <w:rFonts w:ascii="Arial" w:cs="Arial" w:eastAsia="Arial" w:hAnsi="Arial"/>
          <w:sz w:val="19"/>
          <w:szCs w:val="19"/>
          <w:color w:val="auto"/>
        </w:rPr>
        <w:t>agreement governing long-term incentive compensation or equity compensation to which you may be party or breach of your fiduciary duties to the Company; (v) failure to provide the Company with at least 30 days’ advanced written notice of your intention to resign; (vi) any willful act, or failure to act, in bad faith to the detriment of the Company; (vii) willful failure to cooperate in good faith with a governmental or internal investigation of the Company or any of its directors, managers, officers or employees, if the Company requests your cooperation; (viii) failure to follow the Company’s code of conduct or ethics policy; and (ix) conviction of, or plea of nolo contendere to, a felony or any serious crime; provided that, the Company will provide you with written notice describing the facts and circumstances that the Company believes constitutes Cause and, in cases where cure is possible, you shall first be provided a 15-day cure period. If, subsequent to your termination of employment for any reason other than by the Company for Cause, it is determined in good faith by the Chief Executive Officer of the Company that your employment could have been terminated by the Company for Cause, your employment shall, at the election of the Chief Executive Officer of the Company at any time up to two years after your termination of employment but in no event more than six months after the Chief Executive Officer of the Company learns of the facts or events that could give rise to the termination for Cause, be deemed to have been terminated for Cause retroactively to the date the events giving rise to Cause occurred.</w:t>
      </w:r>
    </w:p>
    <w:p>
      <w:pPr>
        <w:spacing w:after="0" w:line="166" w:lineRule="exact"/>
        <w:rPr>
          <w:sz w:val="20"/>
          <w:szCs w:val="20"/>
          <w:color w:val="auto"/>
        </w:rPr>
      </w:pPr>
    </w:p>
    <w:p>
      <w:pPr>
        <w:ind w:right="2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Determination Date</w:t>
      </w:r>
      <w:r>
        <w:rPr>
          <w:rFonts w:ascii="Arial" w:cs="Arial" w:eastAsia="Arial" w:hAnsi="Arial"/>
          <w:sz w:val="22"/>
          <w:szCs w:val="22"/>
          <w:color w:val="auto"/>
        </w:rPr>
        <w:t>” means the date on which the Committee determines whether the Adjusted EPS Performance Goal and the TSR Performance Goal have been achieved, which shall be no later than the March 1 immediately following the Company’s 2024 fiscal year.</w:t>
      </w:r>
    </w:p>
    <w:p>
      <w:pPr>
        <w:spacing w:after="0" w:line="185" w:lineRule="exact"/>
        <w:rPr>
          <w:sz w:val="20"/>
          <w:szCs w:val="20"/>
          <w:color w:val="auto"/>
        </w:rPr>
      </w:pPr>
    </w:p>
    <w:p>
      <w:pPr>
        <w:ind w:right="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means any individual employment agreement between you and the Company or any of its Subsidiaries.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Period</w:t>
      </w:r>
      <w:r>
        <w:rPr>
          <w:rFonts w:ascii="Arial" w:cs="Arial" w:eastAsia="Arial" w:hAnsi="Arial"/>
          <w:sz w:val="19"/>
          <w:szCs w:val="19"/>
          <w:color w:val="auto"/>
        </w:rPr>
        <w:t>” means the period commencing on January 1, 2020 and ending on December 31, 2024.</w:t>
      </w:r>
    </w:p>
    <w:p>
      <w:pPr>
        <w:spacing w:after="0" w:line="254"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means Section 409A of the Code, and the regulations and other interpretive guidance promulgated thereunder, as in effect from time to time.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Settlement Date</w:t>
      </w:r>
      <w:r>
        <w:rPr>
          <w:rFonts w:ascii="Arial" w:cs="Arial" w:eastAsia="Arial" w:hAnsi="Arial"/>
          <w:sz w:val="19"/>
          <w:szCs w:val="19"/>
          <w:color w:val="auto"/>
        </w:rPr>
        <w:t>” means the tenth day following the date, if any, on which the RSUs vest pursuant to Section 3.</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TSR Performance Goal</w:t>
      </w:r>
      <w:r>
        <w:rPr>
          <w:rFonts w:ascii="Arial" w:cs="Arial" w:eastAsia="Arial" w:hAnsi="Arial"/>
          <w:sz w:val="22"/>
          <w:szCs w:val="22"/>
          <w:color w:val="auto"/>
        </w:rPr>
        <w:t xml:space="preserve">” has the meaning given to such term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193" w:lineRule="exact"/>
        <w:rPr>
          <w:sz w:val="20"/>
          <w:szCs w:val="20"/>
          <w:color w:val="auto"/>
        </w:rPr>
      </w:pPr>
    </w:p>
    <w:p>
      <w:pPr>
        <w:ind w:left="1300"/>
        <w:spacing w:after="0"/>
        <w:tabs>
          <w:tab w:leader="none" w:pos="3700" w:val="left"/>
        </w:tabs>
        <w:rPr>
          <w:sz w:val="20"/>
          <w:szCs w:val="20"/>
          <w:color w:val="auto"/>
        </w:rPr>
      </w:pPr>
      <w:r>
        <w:rPr>
          <w:rFonts w:ascii="Arial" w:cs="Arial" w:eastAsia="Arial" w:hAnsi="Arial"/>
          <w:sz w:val="22"/>
          <w:szCs w:val="22"/>
          <w:color w:val="010000"/>
        </w:rPr>
        <w:t>SECTION 3.</w:t>
      </w:r>
      <w:r>
        <w:rPr>
          <w:sz w:val="20"/>
          <w:szCs w:val="20"/>
          <w:color w:val="auto"/>
        </w:rPr>
        <w:tab/>
      </w:r>
      <w:r>
        <w:rPr>
          <w:rFonts w:ascii="Arial" w:cs="Arial" w:eastAsia="Arial" w:hAnsi="Arial"/>
          <w:sz w:val="19"/>
          <w:szCs w:val="19"/>
          <w:u w:val="single" w:color="auto"/>
          <w:color w:val="auto"/>
        </w:rPr>
        <w:t>Vesting and Settlement</w:t>
      </w:r>
      <w:r>
        <w:rPr>
          <w:rFonts w:ascii="Arial" w:cs="Arial" w:eastAsia="Arial" w:hAnsi="Arial"/>
          <w:sz w:val="19"/>
          <w:szCs w:val="19"/>
          <w:color w:val="auto"/>
        </w:rPr>
        <w:t>.</w:t>
      </w:r>
    </w:p>
    <w:p>
      <w:pPr>
        <w:spacing w:after="0" w:line="206" w:lineRule="exact"/>
        <w:rPr>
          <w:sz w:val="20"/>
          <w:szCs w:val="20"/>
          <w:color w:val="auto"/>
        </w:rPr>
      </w:pPr>
    </w:p>
    <w:p>
      <w:pPr>
        <w:jc w:val="both"/>
        <w:ind w:right="320" w:firstLine="1304"/>
        <w:spacing w:after="0" w:line="254" w:lineRule="auto"/>
        <w:tabs>
          <w:tab w:leader="none" w:pos="1716" w:val="left"/>
        </w:tabs>
        <w:numPr>
          <w:ilvl w:val="0"/>
          <w:numId w:val="54"/>
        </w:numPr>
        <w:rPr>
          <w:rFonts w:ascii="Arial" w:cs="Arial" w:eastAsia="Arial" w:hAnsi="Arial"/>
          <w:sz w:val="22"/>
          <w:szCs w:val="22"/>
          <w:color w:val="010000"/>
        </w:rPr>
      </w:pPr>
      <w:r>
        <w:rPr>
          <w:rFonts w:ascii="Arial" w:cs="Arial" w:eastAsia="Arial" w:hAnsi="Arial"/>
          <w:sz w:val="22"/>
          <w:szCs w:val="22"/>
          <w:u w:val="single" w:color="auto"/>
          <w:color w:val="auto"/>
        </w:rPr>
        <w:t>Vesting Requirements</w:t>
      </w:r>
      <w:r>
        <w:rPr>
          <w:rFonts w:ascii="Arial" w:cs="Arial" w:eastAsia="Arial" w:hAnsi="Arial"/>
          <w:sz w:val="22"/>
          <w:szCs w:val="22"/>
          <w:color w:val="auto"/>
        </w:rPr>
        <w:t>. Except as otherwise provided in Section 3(b) or 3(c) hereof, you shall vest in the RSUs granted pursuant to this Award Agreement if (i) the Adjusted EPS Performance Goal has been achieved, (ii) the TSR Performance Goal has been achieved, and (iii) you have remained employed with the Company or an Affiliate thereof through the last day of the Performance Period. If the Committee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C-2</w:t>
      </w:r>
    </w:p>
    <w:p>
      <w:pPr>
        <w:sectPr>
          <w:pgSz w:w="11900" w:h="16838" w:orient="portrait"/>
          <w:cols w:equalWidth="0" w:num="1">
            <w:col w:w="11240"/>
          </w:cols>
          <w:pgMar w:left="320" w:top="604" w:right="339" w:bottom="1440" w:gutter="0" w:footer="0" w:header="0"/>
        </w:sectPr>
      </w:pPr>
    </w:p>
    <w:bookmarkStart w:id="70" w:name="page71"/>
    <w:bookmarkEnd w:id="70"/>
    <w:p>
      <w:pPr>
        <w:ind w:right="380"/>
        <w:spacing w:after="0" w:line="287" w:lineRule="auto"/>
        <w:rPr>
          <w:sz w:val="20"/>
          <w:szCs w:val="20"/>
          <w:color w:val="auto"/>
        </w:rPr>
      </w:pPr>
      <w:r>
        <w:rPr>
          <w:rFonts w:ascii="Arial" w:cs="Arial" w:eastAsia="Arial" w:hAnsi="Arial"/>
          <w:sz w:val="21"/>
          <w:szCs w:val="21"/>
          <w:color w:val="auto"/>
        </w:rPr>
        <w:t>determines that either the Adjusted EPS Performance Goal or the TSR Performance Goal has not been achieved, all unvested RSUs shall be forfeited and cease to be outstanding, effective as of the Determination Date.</w:t>
      </w:r>
    </w:p>
    <w:p>
      <w:pPr>
        <w:spacing w:after="0" w:line="151" w:lineRule="exact"/>
        <w:rPr>
          <w:sz w:val="20"/>
          <w:szCs w:val="20"/>
          <w:color w:val="auto"/>
        </w:rPr>
      </w:pPr>
    </w:p>
    <w:p>
      <w:pPr>
        <w:jc w:val="both"/>
        <w:ind w:right="120" w:firstLine="1304"/>
        <w:spacing w:after="0" w:line="259" w:lineRule="auto"/>
        <w:tabs>
          <w:tab w:leader="none" w:pos="1728" w:val="left"/>
        </w:tabs>
        <w:numPr>
          <w:ilvl w:val="0"/>
          <w:numId w:val="55"/>
        </w:numPr>
        <w:rPr>
          <w:rFonts w:ascii="Arial" w:cs="Arial" w:eastAsia="Arial" w:hAnsi="Arial"/>
          <w:sz w:val="22"/>
          <w:szCs w:val="22"/>
          <w:color w:val="010000"/>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Notwithstanding anything to the contrary in this Award Agreement or the Plan to the contrary, all unvested RSUs will be forfeited (and cease to be outstanding) upon your termination of employment for any reason prior to the end of the Performance Period, except that:</w:t>
      </w:r>
    </w:p>
    <w:p>
      <w:pPr>
        <w:spacing w:after="0" w:line="180" w:lineRule="exact"/>
        <w:rPr>
          <w:rFonts w:ascii="Arial" w:cs="Arial" w:eastAsia="Arial" w:hAnsi="Arial"/>
          <w:sz w:val="22"/>
          <w:szCs w:val="22"/>
          <w:color w:val="010000"/>
        </w:rPr>
      </w:pPr>
    </w:p>
    <w:p>
      <w:pPr>
        <w:ind w:left="660" w:right="60" w:firstLine="1292"/>
        <w:spacing w:after="0" w:line="276" w:lineRule="auto"/>
        <w:tabs>
          <w:tab w:leader="none" w:pos="2340" w:val="left"/>
        </w:tabs>
        <w:numPr>
          <w:ilvl w:val="1"/>
          <w:numId w:val="55"/>
        </w:numPr>
        <w:rPr>
          <w:rFonts w:ascii="Arial" w:cs="Arial" w:eastAsia="Arial" w:hAnsi="Arial"/>
          <w:sz w:val="22"/>
          <w:szCs w:val="22"/>
          <w:color w:val="010000"/>
        </w:rPr>
      </w:pPr>
      <w:r>
        <w:rPr>
          <w:rFonts w:ascii="Arial" w:cs="Arial" w:eastAsia="Arial" w:hAnsi="Arial"/>
          <w:sz w:val="22"/>
          <w:szCs w:val="22"/>
          <w:color w:val="auto"/>
        </w:rPr>
        <w:t>if your employment terminates by reason of your death prior to the end of the Performance Period, all outstanding RSUs shall be deemed earned and shall vest in full immediately; and</w:t>
      </w:r>
    </w:p>
    <w:p>
      <w:pPr>
        <w:spacing w:after="0" w:line="160" w:lineRule="exact"/>
        <w:rPr>
          <w:rFonts w:ascii="Arial" w:cs="Arial" w:eastAsia="Arial" w:hAnsi="Arial"/>
          <w:sz w:val="22"/>
          <w:szCs w:val="22"/>
          <w:color w:val="010000"/>
        </w:rPr>
      </w:pPr>
    </w:p>
    <w:p>
      <w:pPr>
        <w:ind w:left="660" w:firstLine="1292"/>
        <w:spacing w:after="0" w:line="294" w:lineRule="auto"/>
        <w:tabs>
          <w:tab w:leader="none" w:pos="2400" w:val="left"/>
        </w:tabs>
        <w:numPr>
          <w:ilvl w:val="1"/>
          <w:numId w:val="55"/>
        </w:numPr>
        <w:rPr>
          <w:rFonts w:ascii="Arial" w:cs="Arial" w:eastAsia="Arial" w:hAnsi="Arial"/>
          <w:sz w:val="19"/>
          <w:szCs w:val="19"/>
          <w:color w:val="010000"/>
        </w:rPr>
      </w:pPr>
      <w:r>
        <w:rPr>
          <w:rFonts w:ascii="Arial" w:cs="Arial" w:eastAsia="Arial" w:hAnsi="Arial"/>
          <w:sz w:val="19"/>
          <w:szCs w:val="19"/>
          <w:color w:val="auto"/>
        </w:rPr>
        <w:t>if your employment is terminated by the Company without Cause (other than due to your disability) during the Performance Period, then a portion of the RSUs shall remain outstanding and eligible to vest, subject to the achievement of the Adjusted EPS Performance Goal and the TSR Performance Goal, which portion shall be equal to the product of (x) the total number of RSUs and (y) a fraction, the numerator of which is the number of days from your first day of employment with the Company through the date of termination of your employment and the denominator of which is the total number of days from your first day of employment with the Company through the last day of the Performance Period. Such eligible RSUs will vest, if at all, on the Determination Date.</w:t>
      </w:r>
    </w:p>
    <w:p>
      <w:pPr>
        <w:spacing w:after="0" w:line="151" w:lineRule="exact"/>
        <w:rPr>
          <w:rFonts w:ascii="Arial" w:cs="Arial" w:eastAsia="Arial" w:hAnsi="Arial"/>
          <w:sz w:val="19"/>
          <w:szCs w:val="19"/>
          <w:color w:val="010000"/>
        </w:rPr>
      </w:pPr>
    </w:p>
    <w:p>
      <w:pPr>
        <w:ind w:right="360" w:firstLine="1304"/>
        <w:spacing w:after="0" w:line="307" w:lineRule="auto"/>
        <w:tabs>
          <w:tab w:leader="none" w:pos="1716" w:val="left"/>
        </w:tabs>
        <w:numPr>
          <w:ilvl w:val="0"/>
          <w:numId w:val="55"/>
        </w:numPr>
        <w:rPr>
          <w:rFonts w:ascii="Arial" w:cs="Arial" w:eastAsia="Arial" w:hAnsi="Arial"/>
          <w:sz w:val="19"/>
          <w:szCs w:val="19"/>
          <w:color w:val="010000"/>
        </w:rPr>
      </w:pPr>
      <w:r>
        <w:rPr>
          <w:rFonts w:ascii="Arial" w:cs="Arial" w:eastAsia="Arial" w:hAnsi="Arial"/>
          <w:sz w:val="19"/>
          <w:szCs w:val="19"/>
          <w:u w:val="single" w:color="auto"/>
          <w:color w:val="auto"/>
        </w:rPr>
        <w:t>Change of Control</w:t>
      </w:r>
      <w:r>
        <w:rPr>
          <w:rFonts w:ascii="Arial" w:cs="Arial" w:eastAsia="Arial" w:hAnsi="Arial"/>
          <w:sz w:val="19"/>
          <w:szCs w:val="19"/>
          <w:color w:val="auto"/>
        </w:rPr>
        <w:t>. Upon a Change of Control prior to the conclusion of the Performance Period (or following such conclusion but prior to the Determination Date) that occurs during your employment, or that occurs following your termination of employment by the Company without Cause (and other than due to your disability), all RSUs that remain outstanding at the time of the Change of Control shall be deemed earned and shall vest in full immediately.</w:t>
      </w:r>
    </w:p>
    <w:p>
      <w:pPr>
        <w:spacing w:after="0" w:line="137" w:lineRule="exact"/>
        <w:rPr>
          <w:rFonts w:ascii="Arial" w:cs="Arial" w:eastAsia="Arial" w:hAnsi="Arial"/>
          <w:sz w:val="19"/>
          <w:szCs w:val="19"/>
          <w:color w:val="010000"/>
        </w:rPr>
      </w:pPr>
    </w:p>
    <w:p>
      <w:pPr>
        <w:ind w:right="120" w:firstLine="1304"/>
        <w:spacing w:after="0" w:line="300" w:lineRule="auto"/>
        <w:tabs>
          <w:tab w:leader="none" w:pos="1728" w:val="left"/>
        </w:tabs>
        <w:numPr>
          <w:ilvl w:val="0"/>
          <w:numId w:val="55"/>
        </w:numPr>
        <w:rPr>
          <w:rFonts w:ascii="Arial" w:cs="Arial" w:eastAsia="Arial" w:hAnsi="Arial"/>
          <w:sz w:val="19"/>
          <w:szCs w:val="19"/>
          <w:color w:val="010000"/>
        </w:rPr>
      </w:pPr>
      <w:r>
        <w:rPr>
          <w:rFonts w:ascii="Arial" w:cs="Arial" w:eastAsia="Arial" w:hAnsi="Arial"/>
          <w:sz w:val="19"/>
          <w:szCs w:val="19"/>
          <w:u w:val="single" w:color="auto"/>
          <w:color w:val="auto"/>
        </w:rPr>
        <w:t>Settlement of RSU Award</w:t>
      </w:r>
      <w:r>
        <w:rPr>
          <w:rFonts w:ascii="Arial" w:cs="Arial" w:eastAsia="Arial" w:hAnsi="Arial"/>
          <w:sz w:val="19"/>
          <w:szCs w:val="19"/>
          <w:color w:val="auto"/>
        </w:rPr>
        <w:t>. If RSUs vest pursuant to the foregoing provisions of this Section 3, then no later than the applicable Settlement Date, the Company shall deliver to you or your legal representative either (i) one Share or (ii) a cash payment equal to the Fair Market Value determined as of the Settlement Date of one Share, in each case, for each RSU that has been deemed earned and vested in accordance with the terms of this Award Agreement; provided, that the Company shall have sole discretion to determine whether to settle such RSUs in Shares, cash or a combination thereof.</w:t>
      </w:r>
    </w:p>
    <w:p>
      <w:pPr>
        <w:spacing w:after="0" w:line="119" w:lineRule="exact"/>
        <w:rPr>
          <w:sz w:val="20"/>
          <w:szCs w:val="20"/>
          <w:color w:val="auto"/>
        </w:rPr>
      </w:pPr>
    </w:p>
    <w:p>
      <w:pPr>
        <w:ind w:right="160" w:firstLine="1296"/>
        <w:spacing w:after="0" w:line="218" w:lineRule="auto"/>
        <w:rPr>
          <w:sz w:val="20"/>
          <w:szCs w:val="20"/>
          <w:color w:val="auto"/>
        </w:rPr>
      </w:pPr>
      <w:r>
        <w:rPr>
          <w:rFonts w:ascii="Arial" w:cs="Arial" w:eastAsia="Arial" w:hAnsi="Arial"/>
          <w:sz w:val="22"/>
          <w:szCs w:val="22"/>
          <w:color w:val="010000"/>
        </w:rPr>
        <w:t xml:space="preserve">SECTION 4. </w:t>
      </w:r>
      <w:r>
        <w:rPr>
          <w:rFonts w:ascii="Arial" w:cs="Arial" w:eastAsia="Arial" w:hAnsi="Arial"/>
          <w:sz w:val="22"/>
          <w:szCs w:val="22"/>
          <w:u w:val="single" w:color="auto"/>
          <w:color w:val="000000"/>
        </w:rPr>
        <w:t>Forfeiture of RSUs</w:t>
      </w:r>
      <w:r>
        <w:rPr>
          <w:rFonts w:ascii="Arial" w:cs="Arial" w:eastAsia="Arial" w:hAnsi="Arial"/>
          <w:sz w:val="22"/>
          <w:szCs w:val="22"/>
          <w:color w:val="000000"/>
        </w:rPr>
        <w:t>. If you (a) breach any restrictive covenant (which, for the</w:t>
      </w:r>
      <w:r>
        <w:rPr>
          <w:rFonts w:ascii="Arial" w:cs="Arial" w:eastAsia="Arial" w:hAnsi="Arial"/>
          <w:sz w:val="22"/>
          <w:szCs w:val="22"/>
          <w:color w:val="010000"/>
        </w:rPr>
        <w:t xml:space="preserve"> </w:t>
      </w:r>
      <w:r>
        <w:rPr>
          <w:rFonts w:ascii="Arial" w:cs="Arial" w:eastAsia="Arial" w:hAnsi="Arial"/>
          <w:sz w:val="22"/>
          <w:szCs w:val="22"/>
          <w:color w:val="000000"/>
        </w:rPr>
        <w:t>avoidance of doubt, includes any non-compete, non-solicit, non-disparagement or confidentiality provisions) contained in any arrangements with the Company (including your Employment Agreement and the confidentiality covenant contained in Section 10(c) hereof) to which you are subject or (b) engage in fraud or</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C-3</w:t>
      </w:r>
    </w:p>
    <w:p>
      <w:pPr>
        <w:sectPr>
          <w:pgSz w:w="11900" w:h="16838" w:orient="portrait"/>
          <w:cols w:equalWidth="0" w:num="1">
            <w:col w:w="11200"/>
          </w:cols>
          <w:pgMar w:left="320" w:top="604" w:right="379" w:bottom="1440" w:gutter="0" w:footer="0" w:header="0"/>
        </w:sectPr>
      </w:pPr>
    </w:p>
    <w:bookmarkStart w:id="71" w:name="page72"/>
    <w:bookmarkEnd w:id="71"/>
    <w:p>
      <w:pPr>
        <w:ind w:right="80"/>
        <w:spacing w:after="0" w:line="212" w:lineRule="auto"/>
        <w:rPr>
          <w:sz w:val="20"/>
          <w:szCs w:val="20"/>
          <w:color w:val="auto"/>
        </w:rPr>
      </w:pPr>
      <w:r>
        <w:rPr>
          <w:rFonts w:ascii="Arial" w:cs="Arial" w:eastAsia="Arial" w:hAnsi="Arial"/>
          <w:sz w:val="22"/>
          <w:szCs w:val="22"/>
          <w:color w:val="auto"/>
        </w:rPr>
        <w:t>willful misconduct that contributes materially to any financial restatement or material loss to the Company or any of its Subsidiaries, your rights with respect to the RSUs shall immediately terminate, and you shall be entitled to no further payments or benefits with respect thereto and, if the RSUs are vested and/or settled, the Company may require you to forfeit or remit to the Company any amount payable, or the after-tax net amount paid or received by you, in respect of any RSUs; provided, however, that (i) the Company shall make such demand that you forfeit or remit any such amount no later than six months after learning of the conduct described in this Section 4 and (ii) in cases where cure is possible, you shall first be provided a 15-day cure period to cease, and to cure, such conduct.</w:t>
      </w:r>
    </w:p>
    <w:p>
      <w:pPr>
        <w:spacing w:after="0" w:line="164" w:lineRule="exact"/>
        <w:rPr>
          <w:sz w:val="20"/>
          <w:szCs w:val="20"/>
          <w:color w:val="auto"/>
        </w:rPr>
      </w:pPr>
    </w:p>
    <w:p>
      <w:pPr>
        <w:ind w:right="660" w:firstLine="1296"/>
        <w:spacing w:after="0" w:line="234" w:lineRule="auto"/>
        <w:rPr>
          <w:sz w:val="20"/>
          <w:szCs w:val="20"/>
          <w:color w:val="auto"/>
        </w:rPr>
      </w:pPr>
      <w:r>
        <w:rPr>
          <w:rFonts w:ascii="Arial" w:cs="Arial" w:eastAsia="Arial" w:hAnsi="Arial"/>
          <w:sz w:val="21"/>
          <w:szCs w:val="21"/>
          <w:color w:val="010000"/>
        </w:rPr>
        <w:t xml:space="preserve">SECTION 5. </w:t>
      </w:r>
      <w:r>
        <w:rPr>
          <w:rFonts w:ascii="Arial" w:cs="Arial" w:eastAsia="Arial" w:hAnsi="Arial"/>
          <w:sz w:val="21"/>
          <w:szCs w:val="21"/>
          <w:u w:val="single" w:color="auto"/>
          <w:color w:val="000000"/>
        </w:rPr>
        <w:t>No Rights as a Stockholder</w:t>
      </w:r>
      <w:r>
        <w:rPr>
          <w:rFonts w:ascii="Arial" w:cs="Arial" w:eastAsia="Arial" w:hAnsi="Arial"/>
          <w:sz w:val="21"/>
          <w:szCs w:val="21"/>
          <w:color w:val="000000"/>
        </w:rPr>
        <w:t>. You shall not have any rights or privileges of a</w:t>
      </w:r>
      <w:r>
        <w:rPr>
          <w:rFonts w:ascii="Arial" w:cs="Arial" w:eastAsia="Arial" w:hAnsi="Arial"/>
          <w:sz w:val="21"/>
          <w:szCs w:val="21"/>
          <w:color w:val="010000"/>
        </w:rPr>
        <w:t xml:space="preserve"> </w:t>
      </w:r>
      <w:r>
        <w:rPr>
          <w:rFonts w:ascii="Arial" w:cs="Arial" w:eastAsia="Arial" w:hAnsi="Arial"/>
          <w:sz w:val="21"/>
          <w:szCs w:val="21"/>
          <w:color w:val="000000"/>
        </w:rPr>
        <w:t>stockholder with respect to the RSUs subject to this Award Agreement unless and until certificates representing Shares are actually issued and delivered to you or your legal representative in settlement of this Award.</w:t>
      </w:r>
    </w:p>
    <w:p>
      <w:pPr>
        <w:spacing w:after="0" w:line="158" w:lineRule="exact"/>
        <w:rPr>
          <w:sz w:val="20"/>
          <w:szCs w:val="20"/>
          <w:color w:val="auto"/>
        </w:rPr>
      </w:pPr>
    </w:p>
    <w:p>
      <w:pPr>
        <w:ind w:right="20" w:firstLine="1296"/>
        <w:spacing w:after="0" w:line="229" w:lineRule="auto"/>
        <w:rPr>
          <w:sz w:val="20"/>
          <w:szCs w:val="20"/>
          <w:color w:val="auto"/>
        </w:rPr>
      </w:pPr>
      <w:r>
        <w:rPr>
          <w:rFonts w:ascii="Arial" w:cs="Arial" w:eastAsia="Arial" w:hAnsi="Arial"/>
          <w:sz w:val="21"/>
          <w:szCs w:val="21"/>
          <w:color w:val="010000"/>
        </w:rPr>
        <w:t xml:space="preserve">SECTION 6. </w:t>
      </w:r>
      <w:r>
        <w:rPr>
          <w:rFonts w:ascii="Arial" w:cs="Arial" w:eastAsia="Arial" w:hAnsi="Arial"/>
          <w:sz w:val="21"/>
          <w:szCs w:val="21"/>
          <w:u w:val="single" w:color="auto"/>
          <w:color w:val="000000"/>
        </w:rPr>
        <w:t>Non-Transferability of RSUs</w:t>
      </w:r>
      <w:r>
        <w:rPr>
          <w:rFonts w:ascii="Arial" w:cs="Arial" w:eastAsia="Arial" w:hAnsi="Arial"/>
          <w:sz w:val="21"/>
          <w:szCs w:val="21"/>
          <w:color w:val="000000"/>
        </w:rPr>
        <w:t>. Unless otherwise provided by the Committee in its</w:t>
      </w:r>
      <w:r>
        <w:rPr>
          <w:rFonts w:ascii="Arial" w:cs="Arial" w:eastAsia="Arial" w:hAnsi="Arial"/>
          <w:sz w:val="21"/>
          <w:szCs w:val="21"/>
          <w:color w:val="010000"/>
        </w:rPr>
        <w:t xml:space="preserve"> </w:t>
      </w:r>
      <w:r>
        <w:rPr>
          <w:rFonts w:ascii="Arial" w:cs="Arial" w:eastAsia="Arial" w:hAnsi="Arial"/>
          <w:sz w:val="21"/>
          <w:szCs w:val="21"/>
          <w:color w:val="000000"/>
        </w:rPr>
        <w:t>discretion, RSUs may not be sold, assigned, alienated, transferred, pledged, attached or otherwise encumbered except as provided in Section 9(a) of the Plan. Any purported sale, assignment, alienation, transfer, pledge, attachment or other encumbrance of RSUs in violation of the provisions of this Section 6 and Section 9(a) of the Plan shall be void.</w:t>
      </w:r>
    </w:p>
    <w:p>
      <w:pPr>
        <w:spacing w:after="0" w:line="158" w:lineRule="exact"/>
        <w:rPr>
          <w:sz w:val="20"/>
          <w:szCs w:val="20"/>
          <w:color w:val="auto"/>
        </w:rPr>
      </w:pPr>
    </w:p>
    <w:p>
      <w:pPr>
        <w:ind w:left="1300"/>
        <w:spacing w:after="0"/>
        <w:tabs>
          <w:tab w:leader="none" w:pos="3700" w:val="left"/>
        </w:tabs>
        <w:rPr>
          <w:sz w:val="20"/>
          <w:szCs w:val="20"/>
          <w:color w:val="auto"/>
        </w:rPr>
      </w:pPr>
      <w:r>
        <w:rPr>
          <w:rFonts w:ascii="Arial" w:cs="Arial" w:eastAsia="Arial" w:hAnsi="Arial"/>
          <w:sz w:val="22"/>
          <w:szCs w:val="22"/>
          <w:color w:val="010000"/>
        </w:rPr>
        <w:t>SECTION 7.</w:t>
      </w:r>
      <w:r>
        <w:rPr>
          <w:sz w:val="20"/>
          <w:szCs w:val="20"/>
          <w:color w:val="auto"/>
        </w:rPr>
        <w:tab/>
      </w:r>
      <w:r>
        <w:rPr>
          <w:rFonts w:ascii="Arial" w:cs="Arial" w:eastAsia="Arial" w:hAnsi="Arial"/>
          <w:sz w:val="19"/>
          <w:szCs w:val="19"/>
          <w:u w:val="single" w:color="auto"/>
          <w:color w:val="auto"/>
        </w:rPr>
        <w:t>Withholding, Consents and Legends</w:t>
      </w:r>
      <w:r>
        <w:rPr>
          <w:rFonts w:ascii="Arial" w:cs="Arial" w:eastAsia="Arial" w:hAnsi="Arial"/>
          <w:sz w:val="19"/>
          <w:szCs w:val="19"/>
          <w:color w:val="auto"/>
        </w:rPr>
        <w:t>.</w:t>
      </w:r>
    </w:p>
    <w:p>
      <w:pPr>
        <w:spacing w:after="0" w:line="206" w:lineRule="exact"/>
        <w:rPr>
          <w:sz w:val="20"/>
          <w:szCs w:val="20"/>
          <w:color w:val="auto"/>
        </w:rPr>
      </w:pPr>
    </w:p>
    <w:p>
      <w:pPr>
        <w:ind w:firstLine="1304"/>
        <w:spacing w:after="0" w:line="289" w:lineRule="auto"/>
        <w:tabs>
          <w:tab w:leader="none" w:pos="1716" w:val="left"/>
        </w:tabs>
        <w:numPr>
          <w:ilvl w:val="0"/>
          <w:numId w:val="56"/>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The delivery of Shares or cash pursuant to Section 3 of this Award Agreement is conditioned on satisfaction of any applicable withholding taxes in accordance with this Section 7(a) and Section 9(d) of the Plan. No later than the date as of which an amount first becomes includible in your gross income for Federal, state, local or foreign income tax purposes with respect to any RSUs, you shall pay to the Company, or make arrangements satisfactory to the Company regarding the payment of, any Federal, state, local and foreign taxes that are required by applicable laws and regulations to be withheld with respect to such amount. In the event that there is withholding tax liability in connection with the settlement of the RSUs, if authorized by the Committee in its sole discretion, you may satisfy, in whole or in part, any withholding tax liability by having the Company withhold from the number of Shares or cash you would be entitled to receive upon settlement of the RSUs, an amount in cash or a number of Shares having a Fair Market Value (which shall either have the meaning set forth in the Plan or shall have such other meaning as determined by the Company in accordance with applicable withholding requirements) equal to such withholding tax liability.</w:t>
      </w:r>
    </w:p>
    <w:p>
      <w:pPr>
        <w:spacing w:after="0" w:line="200" w:lineRule="exact"/>
        <w:rPr>
          <w:rFonts w:ascii="Arial" w:cs="Arial" w:eastAsia="Arial" w:hAnsi="Arial"/>
          <w:sz w:val="19"/>
          <w:szCs w:val="19"/>
          <w:color w:val="010000"/>
        </w:rPr>
      </w:pPr>
    </w:p>
    <w:p>
      <w:pPr>
        <w:spacing w:after="0" w:line="220" w:lineRule="exact"/>
        <w:rPr>
          <w:rFonts w:ascii="Arial" w:cs="Arial" w:eastAsia="Arial" w:hAnsi="Arial"/>
          <w:sz w:val="19"/>
          <w:szCs w:val="19"/>
          <w:color w:val="010000"/>
        </w:rPr>
      </w:pPr>
    </w:p>
    <w:p>
      <w:pPr>
        <w:ind w:right="240" w:firstLine="1304"/>
        <w:spacing w:after="0" w:line="254" w:lineRule="auto"/>
        <w:tabs>
          <w:tab w:leader="none" w:pos="1728" w:val="left"/>
        </w:tabs>
        <w:numPr>
          <w:ilvl w:val="0"/>
          <w:numId w:val="56"/>
        </w:numPr>
        <w:rPr>
          <w:rFonts w:ascii="Arial" w:cs="Arial" w:eastAsia="Arial" w:hAnsi="Arial"/>
          <w:sz w:val="22"/>
          <w:szCs w:val="22"/>
          <w:color w:val="010000"/>
        </w:rPr>
      </w:pPr>
      <w:r>
        <w:rPr>
          <w:rFonts w:ascii="Arial" w:cs="Arial" w:eastAsia="Arial" w:hAnsi="Arial"/>
          <w:sz w:val="22"/>
          <w:szCs w:val="22"/>
          <w:u w:val="single" w:color="auto"/>
          <w:color w:val="auto"/>
        </w:rPr>
        <w:t>Consents</w:t>
      </w:r>
      <w:r>
        <w:rPr>
          <w:rFonts w:ascii="Arial" w:cs="Arial" w:eastAsia="Arial" w:hAnsi="Arial"/>
          <w:sz w:val="22"/>
          <w:szCs w:val="22"/>
          <w:color w:val="auto"/>
        </w:rPr>
        <w:t>. Your rights in respect of the RSUs are conditioned on the receipt to the full satisfaction of the Committee of any required consents that the Committee may determine to be necessary or advisable (including your consent to the Company’s supplying to any third-party recordkeeper of the Plan such personal information as the Committee deems advisable to administer the Plan).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C-4</w:t>
      </w:r>
    </w:p>
    <w:p>
      <w:pPr>
        <w:sectPr>
          <w:pgSz w:w="11900" w:h="16838" w:orient="portrait"/>
          <w:cols w:equalWidth="0" w:num="1">
            <w:col w:w="11240"/>
          </w:cols>
          <w:pgMar w:left="320" w:top="577" w:right="339" w:bottom="1440" w:gutter="0" w:footer="0" w:header="0"/>
        </w:sectPr>
      </w:pPr>
    </w:p>
    <w:bookmarkStart w:id="72" w:name="page73"/>
    <w:bookmarkEnd w:id="72"/>
    <w:p>
      <w:pPr>
        <w:jc w:val="both"/>
        <w:ind w:right="400" w:firstLine="1304"/>
        <w:spacing w:after="0" w:line="254" w:lineRule="auto"/>
        <w:tabs>
          <w:tab w:leader="none" w:pos="1716" w:val="left"/>
        </w:tabs>
        <w:numPr>
          <w:ilvl w:val="0"/>
          <w:numId w:val="57"/>
        </w:numPr>
        <w:rPr>
          <w:rFonts w:ascii="Arial" w:cs="Arial" w:eastAsia="Arial" w:hAnsi="Arial"/>
          <w:sz w:val="22"/>
          <w:szCs w:val="22"/>
          <w:color w:val="010000"/>
        </w:rPr>
      </w:pPr>
      <w:r>
        <w:rPr>
          <w:rFonts w:ascii="Arial" w:cs="Arial" w:eastAsia="Arial" w:hAnsi="Arial"/>
          <w:sz w:val="22"/>
          <w:szCs w:val="22"/>
          <w:u w:val="single" w:color="auto"/>
          <w:color w:val="auto"/>
        </w:rPr>
        <w:t>Legends</w:t>
      </w:r>
      <w:r>
        <w:rPr>
          <w:rFonts w:ascii="Arial" w:cs="Arial" w:eastAsia="Arial" w:hAnsi="Arial"/>
          <w:sz w:val="22"/>
          <w:szCs w:val="22"/>
          <w:color w:val="auto"/>
        </w:rPr>
        <w:t>. The Company may affix to certificates for Shares issued pursuant to this Award Agreement any legend that the Committee determines to be necessary or advisable (including to reflect any restrictions to which you may be subject under any applicable securities laws). The Company may advise the transfer agent to place a stop order against any legended Shares.</w:t>
      </w:r>
    </w:p>
    <w:p>
      <w:pPr>
        <w:spacing w:after="0" w:line="158" w:lineRule="exact"/>
        <w:rPr>
          <w:sz w:val="20"/>
          <w:szCs w:val="20"/>
          <w:color w:val="auto"/>
        </w:rPr>
      </w:pPr>
    </w:p>
    <w:p>
      <w:pPr>
        <w:ind w:right="480" w:firstLine="1296"/>
        <w:spacing w:after="0" w:line="247" w:lineRule="auto"/>
        <w:rPr>
          <w:sz w:val="20"/>
          <w:szCs w:val="20"/>
          <w:color w:val="auto"/>
        </w:rPr>
      </w:pPr>
      <w:r>
        <w:rPr>
          <w:rFonts w:ascii="Arial" w:cs="Arial" w:eastAsia="Arial" w:hAnsi="Arial"/>
          <w:sz w:val="21"/>
          <w:szCs w:val="21"/>
          <w:color w:val="010000"/>
        </w:rPr>
        <w:t xml:space="preserve">SECTION 8. </w:t>
      </w:r>
      <w:r>
        <w:rPr>
          <w:rFonts w:ascii="Arial" w:cs="Arial" w:eastAsia="Arial" w:hAnsi="Arial"/>
          <w:sz w:val="21"/>
          <w:szCs w:val="21"/>
          <w:u w:val="single" w:color="auto"/>
          <w:color w:val="000000"/>
        </w:rPr>
        <w:t>Successors and Assigns of the Company</w:t>
      </w:r>
      <w:r>
        <w:rPr>
          <w:rFonts w:ascii="Arial" w:cs="Arial" w:eastAsia="Arial" w:hAnsi="Arial"/>
          <w:sz w:val="21"/>
          <w:szCs w:val="21"/>
          <w:color w:val="000000"/>
        </w:rPr>
        <w:t>. The terms and conditions of this Award</w:t>
      </w:r>
      <w:r>
        <w:rPr>
          <w:rFonts w:ascii="Arial" w:cs="Arial" w:eastAsia="Arial" w:hAnsi="Arial"/>
          <w:sz w:val="21"/>
          <w:szCs w:val="21"/>
          <w:color w:val="010000"/>
        </w:rPr>
        <w:t xml:space="preserve"> </w:t>
      </w:r>
      <w:r>
        <w:rPr>
          <w:rFonts w:ascii="Arial" w:cs="Arial" w:eastAsia="Arial" w:hAnsi="Arial"/>
          <w:sz w:val="21"/>
          <w:szCs w:val="21"/>
          <w:color w:val="000000"/>
        </w:rPr>
        <w:t>Agreement shall be binding upon and shall inure to the benefit of the Company and its successors and assigns.</w:t>
      </w:r>
    </w:p>
    <w:p>
      <w:pPr>
        <w:spacing w:after="0" w:line="15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010000"/>
        </w:rPr>
        <w:t xml:space="preserve">SECTION 9. </w:t>
      </w:r>
      <w:r>
        <w:rPr>
          <w:rFonts w:ascii="Arial" w:cs="Arial" w:eastAsia="Arial" w:hAnsi="Arial"/>
          <w:sz w:val="22"/>
          <w:szCs w:val="22"/>
          <w:u w:val="single" w:color="auto"/>
          <w:color w:val="000000"/>
        </w:rPr>
        <w:t>Committee Discretion</w:t>
      </w:r>
      <w:r>
        <w:rPr>
          <w:rFonts w:ascii="Arial" w:cs="Arial" w:eastAsia="Arial" w:hAnsi="Arial"/>
          <w:sz w:val="22"/>
          <w:szCs w:val="22"/>
          <w:color w:val="000000"/>
        </w:rPr>
        <w:t>. The Compensation Committee of the Board shall have full and</w:t>
      </w:r>
      <w:r>
        <w:rPr>
          <w:rFonts w:ascii="Arial" w:cs="Arial" w:eastAsia="Arial" w:hAnsi="Arial"/>
          <w:sz w:val="22"/>
          <w:szCs w:val="22"/>
          <w:color w:val="010000"/>
        </w:rPr>
        <w:t xml:space="preserve"> </w:t>
      </w:r>
      <w:r>
        <w:rPr>
          <w:rFonts w:ascii="Arial" w:cs="Arial" w:eastAsia="Arial" w:hAnsi="Arial"/>
          <w:sz w:val="22"/>
          <w:szCs w:val="22"/>
          <w:color w:val="000000"/>
        </w:rPr>
        <w:t>plenary discretion with respect to any actions to be taken or determinations to be made in connection with this Award Agreement, and its determinations shall be final, binding and conclusive.</w:t>
      </w:r>
    </w:p>
    <w:p>
      <w:pPr>
        <w:spacing w:after="0" w:line="159" w:lineRule="exact"/>
        <w:rPr>
          <w:sz w:val="20"/>
          <w:szCs w:val="20"/>
          <w:color w:val="auto"/>
        </w:rPr>
      </w:pPr>
    </w:p>
    <w:p>
      <w:pPr>
        <w:ind w:left="1300"/>
        <w:spacing w:after="0"/>
        <w:tabs>
          <w:tab w:leader="none" w:pos="3820" w:val="left"/>
        </w:tabs>
        <w:rPr>
          <w:sz w:val="20"/>
          <w:szCs w:val="20"/>
          <w:color w:val="auto"/>
        </w:rPr>
      </w:pPr>
      <w:r>
        <w:rPr>
          <w:rFonts w:ascii="Arial" w:cs="Arial" w:eastAsia="Arial" w:hAnsi="Arial"/>
          <w:sz w:val="22"/>
          <w:szCs w:val="22"/>
          <w:color w:val="010000"/>
        </w:rPr>
        <w:t>SECTION 10.</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206" w:lineRule="exact"/>
        <w:rPr>
          <w:sz w:val="20"/>
          <w:szCs w:val="20"/>
          <w:color w:val="auto"/>
        </w:rPr>
      </w:pPr>
    </w:p>
    <w:p>
      <w:pPr>
        <w:ind w:firstLine="1304"/>
        <w:spacing w:after="0" w:line="288" w:lineRule="auto"/>
        <w:tabs>
          <w:tab w:leader="none" w:pos="1716" w:val="left"/>
        </w:tabs>
        <w:numPr>
          <w:ilvl w:val="0"/>
          <w:numId w:val="58"/>
        </w:numPr>
        <w:rPr>
          <w:rFonts w:ascii="Arial" w:cs="Arial" w:eastAsia="Arial" w:hAnsi="Arial"/>
          <w:sz w:val="19"/>
          <w:szCs w:val="19"/>
          <w:color w:val="010000"/>
        </w:rPr>
      </w:pPr>
      <w:r>
        <w:rPr>
          <w:rFonts w:ascii="Arial" w:cs="Arial" w:eastAsia="Arial" w:hAnsi="Arial"/>
          <w:sz w:val="19"/>
          <w:szCs w:val="19"/>
          <w:u w:val="single" w:color="auto"/>
          <w:color w:val="auto"/>
        </w:rPr>
        <w:t>Jurisdiction and Venue</w:t>
      </w:r>
      <w:r>
        <w:rPr>
          <w:rFonts w:ascii="Arial" w:cs="Arial" w:eastAsia="Arial" w:hAnsi="Arial"/>
          <w:sz w:val="19"/>
          <w:szCs w:val="19"/>
          <w:color w:val="auto"/>
        </w:rPr>
        <w:t>. Notwithstanding any provision in your Employment Agreement, you and the Company irrevocably submit to the exclusive jurisdiction of (i) the United States District Court for the Southern District of New York and (ii) the courts of the State of New York for the purposes of any suit, action or other proceeding arising out of this Award Agreement or the Plan. You and the Company agree to commence any such action, suit or proceeding either in the United States District Court for the Southern District of New York or, in the courts of the State of New York. You and the Company further agree that service of any process, summons, notice or document by U.S. registered mail to the other party’s address set forth below shall be effective service of process for any action, suit or proceeding in New York with respect to any matters to which you have submitted to jurisdiction in this Section 10(a). You and the Company irrevocably and unconditionally waive any objection to the laying of venue of any action, suit or proceeding arising out of this Award Agreement or the Plan in (A) the United States District Court for the Southern District of New York or (B) the courts of the State of New York, and hereby and thereby further irrevocably and unconditionally waive and agree not to plead or claim in any such court that any such action, suit or proceeding brought in any such court has been brought in an inconvenient forum.</w:t>
      </w:r>
    </w:p>
    <w:p>
      <w:pPr>
        <w:spacing w:after="0" w:line="161" w:lineRule="exact"/>
        <w:rPr>
          <w:rFonts w:ascii="Arial" w:cs="Arial" w:eastAsia="Arial" w:hAnsi="Arial"/>
          <w:sz w:val="19"/>
          <w:szCs w:val="19"/>
          <w:color w:val="010000"/>
        </w:rPr>
      </w:pPr>
    </w:p>
    <w:p>
      <w:pPr>
        <w:ind w:right="220" w:firstLine="1304"/>
        <w:spacing w:after="0" w:line="259" w:lineRule="auto"/>
        <w:tabs>
          <w:tab w:leader="none" w:pos="1728" w:val="left"/>
        </w:tabs>
        <w:numPr>
          <w:ilvl w:val="0"/>
          <w:numId w:val="58"/>
        </w:numPr>
        <w:rPr>
          <w:rFonts w:ascii="Arial" w:cs="Arial" w:eastAsia="Arial" w:hAnsi="Arial"/>
          <w:sz w:val="22"/>
          <w:szCs w:val="22"/>
          <w:color w:val="010000"/>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You and the Company hereby waive, to the fullest extent permitted by applicable law, any right either of you may have to a trial by jury in respect to any litigation directly or indirectly arising out of, under or in connection with this Award Agreement or the Plan.</w:t>
      </w:r>
    </w:p>
    <w:p>
      <w:pPr>
        <w:spacing w:after="0" w:line="180" w:lineRule="exact"/>
        <w:rPr>
          <w:rFonts w:ascii="Arial" w:cs="Arial" w:eastAsia="Arial" w:hAnsi="Arial"/>
          <w:sz w:val="22"/>
          <w:szCs w:val="22"/>
          <w:color w:val="010000"/>
        </w:rPr>
      </w:pPr>
    </w:p>
    <w:p>
      <w:pPr>
        <w:ind w:right="260" w:firstLine="1304"/>
        <w:spacing w:after="0" w:line="254" w:lineRule="auto"/>
        <w:tabs>
          <w:tab w:leader="none" w:pos="1716" w:val="left"/>
        </w:tabs>
        <w:numPr>
          <w:ilvl w:val="0"/>
          <w:numId w:val="58"/>
        </w:numPr>
        <w:rPr>
          <w:rFonts w:ascii="Arial" w:cs="Arial" w:eastAsia="Arial" w:hAnsi="Arial"/>
          <w:sz w:val="22"/>
          <w:szCs w:val="22"/>
          <w:color w:val="010000"/>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You hereby agree to keep confidential the existence of, and any information concerning, a dispute described in this Section 10, except that you may disclose information concerning such dispute to the court that is considering such dispute or to your legal counsel (provided that such counsel agrees not to disclose any such information other than as necessary to the prosecution or defense of the dispute).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C-5</w:t>
      </w:r>
    </w:p>
    <w:p>
      <w:pPr>
        <w:sectPr>
          <w:pgSz w:w="11900" w:h="16838" w:orient="portrait"/>
          <w:cols w:equalWidth="0" w:num="1">
            <w:col w:w="11220"/>
          </w:cols>
          <w:pgMar w:left="320" w:top="604" w:right="359" w:bottom="1440" w:gutter="0" w:footer="0" w:header="0"/>
        </w:sectPr>
      </w:pPr>
    </w:p>
    <w:bookmarkStart w:id="73" w:name="page74"/>
    <w:bookmarkEnd w:id="73"/>
    <w:p>
      <w:pPr>
        <w:ind w:right="160" w:firstLine="1296"/>
        <w:spacing w:after="0" w:line="229" w:lineRule="auto"/>
        <w:rPr>
          <w:sz w:val="20"/>
          <w:szCs w:val="20"/>
          <w:color w:val="auto"/>
        </w:rPr>
      </w:pPr>
      <w:r>
        <w:rPr>
          <w:rFonts w:ascii="Arial" w:cs="Arial" w:eastAsia="Arial" w:hAnsi="Arial"/>
          <w:sz w:val="21"/>
          <w:szCs w:val="21"/>
          <w:color w:val="010000"/>
        </w:rPr>
        <w:t xml:space="preserve">SECTION 11. </w:t>
      </w:r>
      <w:r>
        <w:rPr>
          <w:rFonts w:ascii="Arial" w:cs="Arial" w:eastAsia="Arial" w:hAnsi="Arial"/>
          <w:sz w:val="21"/>
          <w:szCs w:val="21"/>
          <w:u w:val="single" w:color="auto"/>
          <w:color w:val="000000"/>
        </w:rPr>
        <w:t>Notice</w:t>
      </w:r>
      <w:r>
        <w:rPr>
          <w:rFonts w:ascii="Arial" w:cs="Arial" w:eastAsia="Arial" w:hAnsi="Arial"/>
          <w:sz w:val="21"/>
          <w:szCs w:val="21"/>
          <w:color w:val="000000"/>
        </w:rPr>
        <w:t>. All notices, requests, demands and other communications required or</w:t>
      </w:r>
      <w:r>
        <w:rPr>
          <w:rFonts w:ascii="Arial" w:cs="Arial" w:eastAsia="Arial" w:hAnsi="Arial"/>
          <w:sz w:val="21"/>
          <w:szCs w:val="21"/>
          <w:color w:val="010000"/>
        </w:rPr>
        <w:t xml:space="preserve"> </w:t>
      </w:r>
      <w:r>
        <w:rPr>
          <w:rFonts w:ascii="Arial" w:cs="Arial" w:eastAsia="Arial" w:hAnsi="Arial"/>
          <w:sz w:val="21"/>
          <w:szCs w:val="21"/>
          <w:color w:val="000000"/>
        </w:rPr>
        <w:t>permitted to be given under the terms of this Award Agreement shall be in writing and shall be deemed to have been duly given when delivered by hand or overnight courier or three business days after they have been mailed by U.S. certified or registered mail, return receipt requested, postage prepaid, addressed to the other party as set forth below:</w:t>
      </w:r>
    </w:p>
    <w:p>
      <w:pPr>
        <w:spacing w:after="0" w:line="320" w:lineRule="exact"/>
        <w:rPr>
          <w:sz w:val="20"/>
          <w:szCs w:val="20"/>
          <w:color w:val="auto"/>
        </w:rPr>
      </w:pPr>
    </w:p>
    <w:tbl>
      <w:tblPr>
        <w:tblLayout w:type="fixed"/>
        <w:tblInd w:w="600" w:type="dxa"/>
        <w:tblCellMar>
          <w:top w:w="0" w:type="dxa"/>
          <w:left w:w="0" w:type="dxa"/>
          <w:bottom w:w="0" w:type="dxa"/>
          <w:right w:w="0" w:type="dxa"/>
        </w:tblCellMar>
      </w:tblPr>
      <w:tr>
        <w:trPr>
          <w:trHeight w:val="270"/>
        </w:trPr>
        <w:tc>
          <w:tcPr>
            <w:tcW w:w="2620" w:type="dxa"/>
            <w:vAlign w:val="bottom"/>
          </w:tcPr>
          <w:p>
            <w:pPr>
              <w:spacing w:after="0"/>
              <w:rPr>
                <w:sz w:val="20"/>
                <w:szCs w:val="20"/>
                <w:color w:val="auto"/>
              </w:rPr>
            </w:pPr>
            <w:r>
              <w:rPr>
                <w:rFonts w:ascii="Arial" w:cs="Arial" w:eastAsia="Arial" w:hAnsi="Arial"/>
                <w:sz w:val="22"/>
                <w:szCs w:val="22"/>
                <w:color w:val="auto"/>
              </w:rPr>
              <w:t>If to the Company:</w:t>
            </w:r>
          </w:p>
        </w:tc>
        <w:tc>
          <w:tcPr>
            <w:tcW w:w="7180" w:type="dxa"/>
            <w:vAlign w:val="bottom"/>
          </w:tcPr>
          <w:p>
            <w:pPr>
              <w:ind w:left="980"/>
              <w:spacing w:after="0"/>
              <w:rPr>
                <w:sz w:val="20"/>
                <w:szCs w:val="20"/>
                <w:color w:val="auto"/>
              </w:rPr>
            </w:pPr>
            <w:r>
              <w:rPr>
                <w:rFonts w:ascii="Arial" w:cs="Arial" w:eastAsia="Arial" w:hAnsi="Arial"/>
                <w:sz w:val="22"/>
                <w:szCs w:val="22"/>
                <w:color w:val="auto"/>
              </w:rPr>
              <w:t>XPO Logistics, Inc.</w:t>
            </w:r>
          </w:p>
        </w:tc>
      </w:tr>
      <w:tr>
        <w:trPr>
          <w:trHeight w:val="243"/>
        </w:trPr>
        <w:tc>
          <w:tcPr>
            <w:tcW w:w="2620" w:type="dxa"/>
            <w:vAlign w:val="bottom"/>
          </w:tcPr>
          <w:p>
            <w:pPr>
              <w:spacing w:after="0"/>
              <w:rPr>
                <w:sz w:val="21"/>
                <w:szCs w:val="21"/>
                <w:color w:val="auto"/>
              </w:rPr>
            </w:pPr>
          </w:p>
        </w:tc>
        <w:tc>
          <w:tcPr>
            <w:tcW w:w="7180" w:type="dxa"/>
            <w:vAlign w:val="bottom"/>
          </w:tcPr>
          <w:p>
            <w:pPr>
              <w:ind w:left="980"/>
              <w:spacing w:after="0" w:line="243" w:lineRule="exact"/>
              <w:rPr>
                <w:sz w:val="20"/>
                <w:szCs w:val="20"/>
                <w:color w:val="auto"/>
              </w:rPr>
            </w:pPr>
            <w:r>
              <w:rPr>
                <w:rFonts w:ascii="Arial" w:cs="Arial" w:eastAsia="Arial" w:hAnsi="Arial"/>
                <w:sz w:val="22"/>
                <w:szCs w:val="22"/>
                <w:color w:val="auto"/>
              </w:rPr>
              <w:t>Five American Lane</w:t>
            </w:r>
          </w:p>
        </w:tc>
      </w:tr>
      <w:tr>
        <w:trPr>
          <w:trHeight w:val="243"/>
        </w:trPr>
        <w:tc>
          <w:tcPr>
            <w:tcW w:w="2620" w:type="dxa"/>
            <w:vAlign w:val="bottom"/>
          </w:tcPr>
          <w:p>
            <w:pPr>
              <w:spacing w:after="0"/>
              <w:rPr>
                <w:sz w:val="21"/>
                <w:szCs w:val="21"/>
                <w:color w:val="auto"/>
              </w:rPr>
            </w:pPr>
          </w:p>
        </w:tc>
        <w:tc>
          <w:tcPr>
            <w:tcW w:w="7180" w:type="dxa"/>
            <w:vAlign w:val="bottom"/>
          </w:tcPr>
          <w:p>
            <w:pPr>
              <w:ind w:left="980"/>
              <w:spacing w:after="0" w:line="243" w:lineRule="exact"/>
              <w:rPr>
                <w:sz w:val="20"/>
                <w:szCs w:val="20"/>
                <w:color w:val="auto"/>
              </w:rPr>
            </w:pPr>
            <w:r>
              <w:rPr>
                <w:rFonts w:ascii="Arial" w:cs="Arial" w:eastAsia="Arial" w:hAnsi="Arial"/>
                <w:sz w:val="22"/>
                <w:szCs w:val="22"/>
                <w:color w:val="auto"/>
              </w:rPr>
              <w:t>Greenwich, CT 06831</w:t>
            </w:r>
          </w:p>
        </w:tc>
      </w:tr>
      <w:tr>
        <w:trPr>
          <w:trHeight w:val="274"/>
        </w:trPr>
        <w:tc>
          <w:tcPr>
            <w:tcW w:w="2620" w:type="dxa"/>
            <w:vAlign w:val="bottom"/>
          </w:tcPr>
          <w:p>
            <w:pPr>
              <w:spacing w:after="0"/>
              <w:rPr>
                <w:sz w:val="23"/>
                <w:szCs w:val="23"/>
                <w:color w:val="auto"/>
              </w:rPr>
            </w:pPr>
          </w:p>
        </w:tc>
        <w:tc>
          <w:tcPr>
            <w:tcW w:w="7180" w:type="dxa"/>
            <w:vAlign w:val="bottom"/>
          </w:tcPr>
          <w:p>
            <w:pPr>
              <w:ind w:left="980"/>
              <w:spacing w:after="0"/>
              <w:rPr>
                <w:sz w:val="20"/>
                <w:szCs w:val="20"/>
                <w:color w:val="auto"/>
              </w:rPr>
            </w:pPr>
            <w:r>
              <w:rPr>
                <w:rFonts w:ascii="Arial" w:cs="Arial" w:eastAsia="Arial" w:hAnsi="Arial"/>
                <w:sz w:val="22"/>
                <w:szCs w:val="22"/>
                <w:color w:val="auto"/>
              </w:rPr>
              <w:t>Attention: Chief Human Resources Officer</w:t>
            </w:r>
          </w:p>
        </w:tc>
      </w:tr>
      <w:tr>
        <w:trPr>
          <w:trHeight w:val="266"/>
        </w:trPr>
        <w:tc>
          <w:tcPr>
            <w:tcW w:w="2620" w:type="dxa"/>
            <w:vAlign w:val="bottom"/>
          </w:tcPr>
          <w:p>
            <w:pPr>
              <w:spacing w:after="0"/>
              <w:rPr>
                <w:sz w:val="20"/>
                <w:szCs w:val="20"/>
                <w:color w:val="auto"/>
              </w:rPr>
            </w:pPr>
            <w:r>
              <w:rPr>
                <w:rFonts w:ascii="Arial" w:cs="Arial" w:eastAsia="Arial" w:hAnsi="Arial"/>
                <w:sz w:val="22"/>
                <w:szCs w:val="22"/>
                <w:color w:val="auto"/>
              </w:rPr>
              <w:t>If to you:</w:t>
            </w:r>
          </w:p>
        </w:tc>
        <w:tc>
          <w:tcPr>
            <w:tcW w:w="7180" w:type="dxa"/>
            <w:vAlign w:val="bottom"/>
          </w:tcPr>
          <w:p>
            <w:pPr>
              <w:ind w:left="980"/>
              <w:spacing w:after="0"/>
              <w:rPr>
                <w:sz w:val="20"/>
                <w:szCs w:val="20"/>
                <w:color w:val="auto"/>
              </w:rPr>
            </w:pPr>
            <w:r>
              <w:rPr>
                <w:rFonts w:ascii="Arial" w:cs="Arial" w:eastAsia="Arial" w:hAnsi="Arial"/>
                <w:sz w:val="22"/>
                <w:szCs w:val="22"/>
                <w:color w:val="auto"/>
                <w:w w:val="87"/>
              </w:rPr>
              <w:t>To your address as most recently supplied to the Company and set forth</w:t>
            </w:r>
          </w:p>
        </w:tc>
      </w:tr>
      <w:tr>
        <w:trPr>
          <w:trHeight w:val="274"/>
        </w:trPr>
        <w:tc>
          <w:tcPr>
            <w:tcW w:w="2620" w:type="dxa"/>
            <w:vAlign w:val="bottom"/>
          </w:tcPr>
          <w:p>
            <w:pPr>
              <w:spacing w:after="0"/>
              <w:rPr>
                <w:sz w:val="23"/>
                <w:szCs w:val="23"/>
                <w:color w:val="auto"/>
              </w:rPr>
            </w:pPr>
          </w:p>
        </w:tc>
        <w:tc>
          <w:tcPr>
            <w:tcW w:w="7180" w:type="dxa"/>
            <w:vAlign w:val="bottom"/>
          </w:tcPr>
          <w:p>
            <w:pPr>
              <w:ind w:left="980"/>
              <w:spacing w:after="0"/>
              <w:rPr>
                <w:sz w:val="20"/>
                <w:szCs w:val="20"/>
                <w:color w:val="auto"/>
              </w:rPr>
            </w:pPr>
            <w:r>
              <w:rPr>
                <w:rFonts w:ascii="Arial" w:cs="Arial" w:eastAsia="Arial" w:hAnsi="Arial"/>
                <w:sz w:val="22"/>
                <w:szCs w:val="22"/>
                <w:color w:val="auto"/>
              </w:rPr>
              <w:t>in the Company’s records</w:t>
            </w:r>
          </w:p>
        </w:tc>
      </w:tr>
    </w:tbl>
    <w:p>
      <w:pPr>
        <w:spacing w:after="0" w:line="9"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The parties may change the address to which notices under this Award Agreement shall be sent by providing written notice to the other in the manner specified above.</w:t>
      </w:r>
    </w:p>
    <w:p>
      <w:pPr>
        <w:spacing w:after="0" w:line="148" w:lineRule="exact"/>
        <w:rPr>
          <w:sz w:val="20"/>
          <w:szCs w:val="20"/>
          <w:color w:val="auto"/>
        </w:rPr>
      </w:pPr>
    </w:p>
    <w:p>
      <w:pPr>
        <w:ind w:right="160" w:firstLine="1296"/>
        <w:spacing w:after="0" w:line="223" w:lineRule="auto"/>
        <w:rPr>
          <w:sz w:val="20"/>
          <w:szCs w:val="20"/>
          <w:color w:val="auto"/>
        </w:rPr>
      </w:pPr>
      <w:r>
        <w:rPr>
          <w:rFonts w:ascii="Arial" w:cs="Arial" w:eastAsia="Arial" w:hAnsi="Arial"/>
          <w:sz w:val="22"/>
          <w:szCs w:val="22"/>
          <w:color w:val="010000"/>
        </w:rPr>
        <w:t xml:space="preserve">SECTION 12. </w:t>
      </w:r>
      <w:r>
        <w:rPr>
          <w:rFonts w:ascii="Arial" w:cs="Arial" w:eastAsia="Arial" w:hAnsi="Arial"/>
          <w:sz w:val="22"/>
          <w:szCs w:val="22"/>
          <w:u w:val="single" w:color="auto"/>
          <w:color w:val="000000"/>
        </w:rPr>
        <w:t>Governing Law</w:t>
      </w:r>
      <w:r>
        <w:rPr>
          <w:rFonts w:ascii="Arial" w:cs="Arial" w:eastAsia="Arial" w:hAnsi="Arial"/>
          <w:sz w:val="22"/>
          <w:szCs w:val="22"/>
          <w:color w:val="000000"/>
        </w:rPr>
        <w:t>. This Award Agreement shall be deemed to be made in the State of</w:t>
      </w:r>
      <w:r>
        <w:rPr>
          <w:rFonts w:ascii="Arial" w:cs="Arial" w:eastAsia="Arial" w:hAnsi="Arial"/>
          <w:sz w:val="22"/>
          <w:szCs w:val="22"/>
          <w:color w:val="010000"/>
        </w:rPr>
        <w:t xml:space="preserve"> </w:t>
      </w:r>
      <w:r>
        <w:rPr>
          <w:rFonts w:ascii="Arial" w:cs="Arial" w:eastAsia="Arial" w:hAnsi="Arial"/>
          <w:sz w:val="22"/>
          <w:szCs w:val="22"/>
          <w:color w:val="000000"/>
        </w:rPr>
        <w:t>Delaware, and the validity, construction and effect of this Award Agreement in all respects shall be determined in accordance with the laws of the State of Delaware, without giving effect to the conflict of law principles thereof.</w:t>
      </w:r>
    </w:p>
    <w:p>
      <w:pPr>
        <w:spacing w:after="0" w:line="159" w:lineRule="exact"/>
        <w:rPr>
          <w:sz w:val="20"/>
          <w:szCs w:val="20"/>
          <w:color w:val="auto"/>
        </w:rPr>
      </w:pPr>
    </w:p>
    <w:p>
      <w:pPr>
        <w:ind w:right="140" w:firstLine="1296"/>
        <w:spacing w:after="0" w:line="216" w:lineRule="auto"/>
        <w:rPr>
          <w:sz w:val="20"/>
          <w:szCs w:val="20"/>
          <w:color w:val="auto"/>
        </w:rPr>
      </w:pPr>
      <w:r>
        <w:rPr>
          <w:rFonts w:ascii="Arial" w:cs="Arial" w:eastAsia="Arial" w:hAnsi="Arial"/>
          <w:sz w:val="22"/>
          <w:szCs w:val="22"/>
          <w:color w:val="010000"/>
        </w:rPr>
        <w:t xml:space="preserve">SECTION 13. </w:t>
      </w:r>
      <w:r>
        <w:rPr>
          <w:rFonts w:ascii="Arial" w:cs="Arial" w:eastAsia="Arial" w:hAnsi="Arial"/>
          <w:sz w:val="22"/>
          <w:szCs w:val="22"/>
          <w:u w:val="single" w:color="auto"/>
          <w:color w:val="000000"/>
        </w:rPr>
        <w:t>Headings and Construction</w:t>
      </w:r>
      <w:r>
        <w:rPr>
          <w:rFonts w:ascii="Arial" w:cs="Arial" w:eastAsia="Arial" w:hAnsi="Arial"/>
          <w:sz w:val="22"/>
          <w:szCs w:val="22"/>
          <w:color w:val="000000"/>
        </w:rPr>
        <w:t>. Headings are given to the Sections and subsections of</w:t>
      </w:r>
      <w:r>
        <w:rPr>
          <w:rFonts w:ascii="Arial" w:cs="Arial" w:eastAsia="Arial" w:hAnsi="Arial"/>
          <w:sz w:val="22"/>
          <w:szCs w:val="22"/>
          <w:color w:val="010000"/>
        </w:rPr>
        <w:t xml:space="preserve"> </w:t>
      </w:r>
      <w:r>
        <w:rPr>
          <w:rFonts w:ascii="Arial" w:cs="Arial" w:eastAsia="Arial" w:hAnsi="Arial"/>
          <w:sz w:val="22"/>
          <w:szCs w:val="22"/>
          <w:color w:val="000000"/>
        </w:rPr>
        <w:t>this Award Agreement solely as a convenience to facilitate reference. Such headings shall not be deemed in any way material or relevant to the construction or interpretation of this Award Agreement or any provision thereof. Whenever the words “include,” “includes” or “including” are used in this Award Agreement, they shall be deemed to be followed by the words “but not limited to”. The term “or” is not exclusive.</w:t>
      </w:r>
    </w:p>
    <w:p>
      <w:pPr>
        <w:spacing w:after="0" w:line="158" w:lineRule="exact"/>
        <w:rPr>
          <w:sz w:val="20"/>
          <w:szCs w:val="20"/>
          <w:color w:val="auto"/>
        </w:rPr>
      </w:pPr>
    </w:p>
    <w:p>
      <w:pPr>
        <w:ind w:firstLine="1296"/>
        <w:spacing w:after="0" w:line="212" w:lineRule="auto"/>
        <w:rPr>
          <w:sz w:val="20"/>
          <w:szCs w:val="20"/>
          <w:color w:val="auto"/>
        </w:rPr>
      </w:pPr>
      <w:r>
        <w:rPr>
          <w:rFonts w:ascii="Arial" w:cs="Arial" w:eastAsia="Arial" w:hAnsi="Arial"/>
          <w:sz w:val="22"/>
          <w:szCs w:val="22"/>
          <w:color w:val="010000"/>
        </w:rPr>
        <w:t xml:space="preserve">SECTION 14. </w:t>
      </w:r>
      <w:r>
        <w:rPr>
          <w:rFonts w:ascii="Arial" w:cs="Arial" w:eastAsia="Arial" w:hAnsi="Arial"/>
          <w:sz w:val="22"/>
          <w:szCs w:val="22"/>
          <w:u w:val="single" w:color="auto"/>
          <w:color w:val="000000"/>
        </w:rPr>
        <w:t>Amendment of this Award Agreement</w:t>
      </w:r>
      <w:r>
        <w:rPr>
          <w:rFonts w:ascii="Arial" w:cs="Arial" w:eastAsia="Arial" w:hAnsi="Arial"/>
          <w:sz w:val="22"/>
          <w:szCs w:val="22"/>
          <w:color w:val="000000"/>
        </w:rPr>
        <w:t>. The Committee may waive any conditions or</w:t>
      </w:r>
      <w:r>
        <w:rPr>
          <w:rFonts w:ascii="Arial" w:cs="Arial" w:eastAsia="Arial" w:hAnsi="Arial"/>
          <w:sz w:val="22"/>
          <w:szCs w:val="22"/>
          <w:color w:val="010000"/>
        </w:rPr>
        <w:t xml:space="preserve"> </w:t>
      </w:r>
      <w:r>
        <w:rPr>
          <w:rFonts w:ascii="Arial" w:cs="Arial" w:eastAsia="Arial" w:hAnsi="Arial"/>
          <w:sz w:val="22"/>
          <w:szCs w:val="22"/>
          <w:color w:val="000000"/>
        </w:rPr>
        <w:t xml:space="preserve">rights under, amend any terms of, or alter, suspend, discontinue, cancel or terminate this Award Agreement prospectively or retroactively; </w:t>
      </w:r>
      <w:r>
        <w:rPr>
          <w:rFonts w:ascii="Arial" w:cs="Arial" w:eastAsia="Arial" w:hAnsi="Arial"/>
          <w:sz w:val="22"/>
          <w:szCs w:val="22"/>
          <w:u w:val="single" w:color="auto"/>
          <w:color w:val="000000"/>
        </w:rPr>
        <w:t>provided</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however</w:t>
      </w:r>
      <w:r>
        <w:rPr>
          <w:rFonts w:ascii="Arial" w:cs="Arial" w:eastAsia="Arial" w:hAnsi="Arial"/>
          <w:sz w:val="22"/>
          <w:szCs w:val="22"/>
          <w:color w:val="000000"/>
        </w:rPr>
        <w:t>, that, except as set forth in Section 15(d) of this Award Agreement, any such waiver, amendment, alteration, suspension, discontinuance, cancelation or termination that would materially and adversely impair your rights under this Award Agreement shall not to that extent be effective without your consent (it being understood, notwithstanding the foregoing proviso, that this Award Agreement and the RSUs shall be subject to the provisions of Section 7(c) of the Plan).</w:t>
      </w:r>
    </w:p>
    <w:p>
      <w:pPr>
        <w:spacing w:after="0" w:line="164" w:lineRule="exact"/>
        <w:rPr>
          <w:sz w:val="20"/>
          <w:szCs w:val="20"/>
          <w:color w:val="auto"/>
        </w:rPr>
      </w:pPr>
    </w:p>
    <w:p>
      <w:pPr>
        <w:ind w:left="1300"/>
        <w:spacing w:after="0"/>
        <w:tabs>
          <w:tab w:leader="none" w:pos="3820" w:val="left"/>
        </w:tabs>
        <w:rPr>
          <w:sz w:val="20"/>
          <w:szCs w:val="20"/>
          <w:color w:val="auto"/>
        </w:rPr>
      </w:pPr>
      <w:r>
        <w:rPr>
          <w:rFonts w:ascii="Arial" w:cs="Arial" w:eastAsia="Arial" w:hAnsi="Arial"/>
          <w:sz w:val="22"/>
          <w:szCs w:val="22"/>
          <w:color w:val="010000"/>
        </w:rPr>
        <w:t>SECTION 15.</w:t>
      </w:r>
      <w:r>
        <w:rPr>
          <w:sz w:val="20"/>
          <w:szCs w:val="20"/>
          <w:color w:val="auto"/>
        </w:rPr>
        <w:tab/>
      </w:r>
      <w:r>
        <w:rPr>
          <w:rFonts w:ascii="Arial" w:cs="Arial" w:eastAsia="Arial" w:hAnsi="Arial"/>
          <w:sz w:val="19"/>
          <w:szCs w:val="19"/>
          <w:u w:val="single" w:color="auto"/>
          <w:color w:val="auto"/>
        </w:rPr>
        <w:t>Section 409A</w:t>
      </w:r>
      <w:r>
        <w:rPr>
          <w:rFonts w:ascii="Arial" w:cs="Arial" w:eastAsia="Arial" w:hAnsi="Arial"/>
          <w:sz w:val="19"/>
          <w:szCs w:val="19"/>
          <w:color w:val="auto"/>
        </w:rPr>
        <w:t>.</w:t>
      </w:r>
    </w:p>
    <w:p>
      <w:pPr>
        <w:spacing w:after="0" w:line="206" w:lineRule="exact"/>
        <w:rPr>
          <w:sz w:val="20"/>
          <w:szCs w:val="20"/>
          <w:color w:val="auto"/>
        </w:rPr>
      </w:pPr>
    </w:p>
    <w:p>
      <w:pPr>
        <w:ind w:right="200" w:firstLine="1304"/>
        <w:spacing w:after="0" w:line="259" w:lineRule="auto"/>
        <w:tabs>
          <w:tab w:leader="none" w:pos="1716" w:val="left"/>
        </w:tabs>
        <w:numPr>
          <w:ilvl w:val="0"/>
          <w:numId w:val="59"/>
        </w:numPr>
        <w:rPr>
          <w:rFonts w:ascii="Arial" w:cs="Arial" w:eastAsia="Arial" w:hAnsi="Arial"/>
          <w:sz w:val="22"/>
          <w:szCs w:val="22"/>
          <w:color w:val="010000"/>
        </w:rPr>
      </w:pPr>
      <w:r>
        <w:rPr>
          <w:rFonts w:ascii="Arial" w:cs="Arial" w:eastAsia="Arial" w:hAnsi="Arial"/>
          <w:sz w:val="22"/>
          <w:szCs w:val="22"/>
          <w:color w:val="auto"/>
        </w:rPr>
        <w:t>It is intended that the provisions of this Award Agreement comply with Section 409A, and all provisions of this Award Agreement shall be construed and interpreted in a manner consistent with the requirements for avoiding taxes or penalties under Section 409A.</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C-6</w:t>
      </w:r>
    </w:p>
    <w:p>
      <w:pPr>
        <w:sectPr>
          <w:pgSz w:w="11900" w:h="16838" w:orient="portrait"/>
          <w:cols w:equalWidth="0" w:num="1">
            <w:col w:w="11200"/>
          </w:cols>
          <w:pgMar w:left="320" w:top="577" w:right="379" w:bottom="1440" w:gutter="0" w:footer="0" w:header="0"/>
        </w:sectPr>
      </w:pPr>
    </w:p>
    <w:bookmarkStart w:id="74" w:name="page75"/>
    <w:bookmarkEnd w:id="74"/>
    <w:p>
      <w:pPr>
        <w:ind w:right="100" w:firstLine="1304"/>
        <w:spacing w:after="0" w:line="300" w:lineRule="auto"/>
        <w:tabs>
          <w:tab w:leader="none" w:pos="1728" w:val="left"/>
        </w:tabs>
        <w:numPr>
          <w:ilvl w:val="0"/>
          <w:numId w:val="60"/>
        </w:numPr>
        <w:rPr>
          <w:rFonts w:ascii="Arial" w:cs="Arial" w:eastAsia="Arial" w:hAnsi="Arial"/>
          <w:sz w:val="19"/>
          <w:szCs w:val="19"/>
          <w:color w:val="010000"/>
        </w:rPr>
      </w:pPr>
      <w:r>
        <w:rPr>
          <w:rFonts w:ascii="Arial" w:cs="Arial" w:eastAsia="Arial" w:hAnsi="Arial"/>
          <w:sz w:val="19"/>
          <w:szCs w:val="19"/>
          <w:color w:val="auto"/>
        </w:rPr>
        <w:t>Neither you nor any of your creditors or beneficiaries shall have the right to subject any deferred compensation (within the meaning of Section 409A) payable under this Award Agreement to any anticipation, alienation, sale, transfer, assignment, pledge, encumbrance, attachment or garnishment. Except as permitted under Section 409A, any deferred compensation (within the meaning of Section 409A) payable to you or for your benefit under this Award Agreement may not be reduced by, or offset against, any amount owing by you to the Company or any of its Affiliates.</w:t>
      </w:r>
    </w:p>
    <w:p>
      <w:pPr>
        <w:spacing w:after="0" w:line="146" w:lineRule="exact"/>
        <w:rPr>
          <w:rFonts w:ascii="Arial" w:cs="Arial" w:eastAsia="Arial" w:hAnsi="Arial"/>
          <w:sz w:val="19"/>
          <w:szCs w:val="19"/>
          <w:color w:val="010000"/>
        </w:rPr>
      </w:pPr>
    </w:p>
    <w:p>
      <w:pPr>
        <w:ind w:firstLine="1304"/>
        <w:spacing w:after="0" w:line="292" w:lineRule="auto"/>
        <w:tabs>
          <w:tab w:leader="none" w:pos="1716" w:val="left"/>
        </w:tabs>
        <w:numPr>
          <w:ilvl w:val="0"/>
          <w:numId w:val="60"/>
        </w:numPr>
        <w:rPr>
          <w:rFonts w:ascii="Arial" w:cs="Arial" w:eastAsia="Arial" w:hAnsi="Arial"/>
          <w:sz w:val="19"/>
          <w:szCs w:val="19"/>
          <w:color w:val="010000"/>
        </w:rPr>
      </w:pPr>
      <w:r>
        <w:rPr>
          <w:rFonts w:ascii="Arial" w:cs="Arial" w:eastAsia="Arial" w:hAnsi="Arial"/>
          <w:sz w:val="19"/>
          <w:szCs w:val="19"/>
          <w:color w:val="auto"/>
        </w:rPr>
        <w:t>If, at the time of your separation from service (within the meaning of Section 409A), (i) you shall be a specified employee (within the meaning of Section 409A and using the identification methodology selected by the Company from time to time) and (ii) 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(except as otherwise provided in your Employment Agreement), on the first business day after such six-month period. For purposes of Section 409A, each payment hereunder will be deemed to be a separate payment as permitted under Treasury Regulation Section 1.409A-2(b)(2)(iii).</w:t>
      </w:r>
    </w:p>
    <w:p>
      <w:pPr>
        <w:spacing w:after="0" w:line="154" w:lineRule="exact"/>
        <w:rPr>
          <w:rFonts w:ascii="Arial" w:cs="Arial" w:eastAsia="Arial" w:hAnsi="Arial"/>
          <w:sz w:val="19"/>
          <w:szCs w:val="19"/>
          <w:color w:val="010000"/>
        </w:rPr>
      </w:pPr>
    </w:p>
    <w:p>
      <w:pPr>
        <w:ind w:firstLine="1304"/>
        <w:spacing w:after="0" w:line="248" w:lineRule="auto"/>
        <w:tabs>
          <w:tab w:leader="none" w:pos="1728" w:val="left"/>
        </w:tabs>
        <w:numPr>
          <w:ilvl w:val="0"/>
          <w:numId w:val="60"/>
        </w:numPr>
        <w:rPr>
          <w:rFonts w:ascii="Arial" w:cs="Arial" w:eastAsia="Arial" w:hAnsi="Arial"/>
          <w:sz w:val="22"/>
          <w:szCs w:val="22"/>
          <w:color w:val="010000"/>
        </w:rPr>
      </w:pPr>
      <w:r>
        <w:rPr>
          <w:rFonts w:ascii="Arial" w:cs="Arial" w:eastAsia="Arial" w:hAnsi="Arial"/>
          <w:sz w:val="22"/>
          <w:szCs w:val="22"/>
          <w:color w:val="auto"/>
        </w:rPr>
        <w:t>Notwithstanding any provision of this Award Agreement to the contrary, in light of the uncertainty with respect to the proper application of Section 409A, the Company reserves the right to make amendments to this Award Agreement as the Company deems necessary or desirable to avoid the imposition of taxes or penalties under Section 409A. In any case, you shall be solely responsible and liable for the satisfaction of all taxes and penalties that may be imposed on you or for your account in connection with this Award Agreement (including any taxes and penalties under Section 409A), and neither the Company nor any of its Affiliates shall have any obligation to indemnify or otherwise hold you harmless from any or all of such taxes or penalties.</w:t>
      </w:r>
    </w:p>
    <w:p>
      <w:pPr>
        <w:spacing w:after="0" w:line="168" w:lineRule="exact"/>
        <w:rPr>
          <w:sz w:val="20"/>
          <w:szCs w:val="20"/>
          <w:color w:val="auto"/>
        </w:rPr>
      </w:pPr>
    </w:p>
    <w:p>
      <w:pPr>
        <w:ind w:right="40" w:firstLine="1296"/>
        <w:spacing w:after="0" w:line="218" w:lineRule="auto"/>
        <w:rPr>
          <w:sz w:val="20"/>
          <w:szCs w:val="20"/>
          <w:color w:val="auto"/>
        </w:rPr>
      </w:pPr>
      <w:r>
        <w:rPr>
          <w:rFonts w:ascii="Arial" w:cs="Arial" w:eastAsia="Arial" w:hAnsi="Arial"/>
          <w:sz w:val="22"/>
          <w:szCs w:val="22"/>
          <w:color w:val="010000"/>
        </w:rPr>
        <w:t xml:space="preserve">SECTION 16. </w:t>
      </w:r>
      <w:r>
        <w:rPr>
          <w:rFonts w:ascii="Arial" w:cs="Arial" w:eastAsia="Arial" w:hAnsi="Arial"/>
          <w:sz w:val="22"/>
          <w:szCs w:val="22"/>
          <w:u w:val="single" w:color="auto"/>
          <w:color w:val="000000"/>
        </w:rPr>
        <w:t>Counterparts</w:t>
      </w:r>
      <w:r>
        <w:rPr>
          <w:rFonts w:ascii="Arial" w:cs="Arial" w:eastAsia="Arial" w:hAnsi="Arial"/>
          <w:sz w:val="22"/>
          <w:szCs w:val="22"/>
          <w:color w:val="000000"/>
        </w:rPr>
        <w:t>. This Award Agreement may be signed in counterparts, each of which</w:t>
      </w:r>
      <w:r>
        <w:rPr>
          <w:rFonts w:ascii="Arial" w:cs="Arial" w:eastAsia="Arial" w:hAnsi="Arial"/>
          <w:sz w:val="22"/>
          <w:szCs w:val="22"/>
          <w:color w:val="010000"/>
        </w:rPr>
        <w:t xml:space="preserve"> </w:t>
      </w:r>
      <w:r>
        <w:rPr>
          <w:rFonts w:ascii="Arial" w:cs="Arial" w:eastAsia="Arial" w:hAnsi="Arial"/>
          <w:sz w:val="22"/>
          <w:szCs w:val="22"/>
          <w:color w:val="000000"/>
        </w:rPr>
        <w:t>shall be an original, with the same effect as if the signatures thereto and hereto were upon the same instrument. You and the Company hereby acknowledge and agree that signatures delivered by facsimile or electronic means (including by “pdf”) shall be deemed effective for all purposes.</w:t>
      </w:r>
    </w:p>
    <w:p>
      <w:pPr>
        <w:spacing w:after="0" w:line="161" w:lineRule="exact"/>
        <w:rPr>
          <w:sz w:val="20"/>
          <w:szCs w:val="20"/>
          <w:color w:val="auto"/>
        </w:rPr>
      </w:pPr>
    </w:p>
    <w:p>
      <w:pPr>
        <w:ind w:right="40" w:firstLine="1296"/>
        <w:spacing w:after="0" w:line="212" w:lineRule="auto"/>
        <w:rPr>
          <w:sz w:val="20"/>
          <w:szCs w:val="20"/>
          <w:color w:val="auto"/>
        </w:rPr>
      </w:pPr>
      <w:r>
        <w:rPr>
          <w:rFonts w:ascii="Arial" w:cs="Arial" w:eastAsia="Arial" w:hAnsi="Arial"/>
          <w:sz w:val="22"/>
          <w:szCs w:val="22"/>
          <w:color w:val="010000"/>
        </w:rPr>
        <w:t xml:space="preserve">SECTION 17. </w:t>
      </w:r>
      <w:r>
        <w:rPr>
          <w:rFonts w:ascii="Arial" w:cs="Arial" w:eastAsia="Arial" w:hAnsi="Arial"/>
          <w:sz w:val="22"/>
          <w:szCs w:val="22"/>
          <w:u w:val="single" w:color="auto"/>
          <w:color w:val="000000"/>
        </w:rPr>
        <w:t>Section 280G</w:t>
      </w:r>
      <w:r>
        <w:rPr>
          <w:rFonts w:ascii="Arial" w:cs="Arial" w:eastAsia="Arial" w:hAnsi="Arial"/>
          <w:sz w:val="22"/>
          <w:szCs w:val="22"/>
          <w:color w:val="000000"/>
        </w:rPr>
        <w:t>. Notwithstanding anything in this Award Agreement to the contrary</w:t>
      </w:r>
      <w:r>
        <w:rPr>
          <w:rFonts w:ascii="Arial" w:cs="Arial" w:eastAsia="Arial" w:hAnsi="Arial"/>
          <w:sz w:val="22"/>
          <w:szCs w:val="22"/>
          <w:color w:val="010000"/>
        </w:rPr>
        <w:t xml:space="preserve"> </w:t>
      </w:r>
      <w:r>
        <w:rPr>
          <w:rFonts w:ascii="Arial" w:cs="Arial" w:eastAsia="Arial" w:hAnsi="Arial"/>
          <w:sz w:val="22"/>
          <w:szCs w:val="22"/>
          <w:color w:val="000000"/>
        </w:rPr>
        <w:t>and regardless of whether this Award Agreement has otherwise expired or terminated, unless otherwise provided in your Employment Agreement, in the event that any payments, distributions, benefits or entitlements of any type payable to you (“</w:t>
      </w:r>
      <w:r>
        <w:rPr>
          <w:rFonts w:ascii="Arial" w:cs="Arial" w:eastAsia="Arial" w:hAnsi="Arial"/>
          <w:sz w:val="22"/>
          <w:szCs w:val="22"/>
          <w:u w:val="single" w:color="auto"/>
          <w:color w:val="000000"/>
        </w:rPr>
        <w:t>CIC</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Benefits</w:t>
      </w:r>
      <w:r>
        <w:rPr>
          <w:rFonts w:ascii="Arial" w:cs="Arial" w:eastAsia="Arial" w:hAnsi="Arial"/>
          <w:sz w:val="22"/>
          <w:szCs w:val="22"/>
          <w:color w:val="000000"/>
        </w:rPr>
        <w:t>”) (i) constitute “parachute payments” within the meaning of Section 280G of the Code, and (ii) but for this paragraph would be subject to the excise tax imposed by Section 4999 of the Code (the “</w:t>
      </w:r>
      <w:r>
        <w:rPr>
          <w:rFonts w:ascii="Arial" w:cs="Arial" w:eastAsia="Arial" w:hAnsi="Arial"/>
          <w:sz w:val="22"/>
          <w:szCs w:val="22"/>
          <w:u w:val="single" w:color="auto"/>
          <w:color w:val="000000"/>
        </w:rPr>
        <w:t>Excise Tax</w:t>
      </w:r>
      <w:r>
        <w:rPr>
          <w:rFonts w:ascii="Arial" w:cs="Arial" w:eastAsia="Arial" w:hAnsi="Arial"/>
          <w:sz w:val="22"/>
          <w:szCs w:val="22"/>
          <w:color w:val="000000"/>
        </w:rPr>
        <w:t>”), then your CIC Benefits shall be reduced to such lesser amount (the “</w:t>
      </w:r>
      <w:r>
        <w:rPr>
          <w:rFonts w:ascii="Arial" w:cs="Arial" w:eastAsia="Arial" w:hAnsi="Arial"/>
          <w:sz w:val="22"/>
          <w:szCs w:val="22"/>
          <w:u w:val="single" w:color="auto"/>
          <w:color w:val="000000"/>
        </w:rPr>
        <w:t>Reduced Amount</w:t>
      </w:r>
      <w:r>
        <w:rPr>
          <w:rFonts w:ascii="Arial" w:cs="Arial" w:eastAsia="Arial" w:hAnsi="Arial"/>
          <w:sz w:val="22"/>
          <w:szCs w:val="22"/>
          <w:color w:val="000000"/>
        </w:rPr>
        <w:t xml:space="preserve">”) that would result in no portion of such benefits being subject to the Excise Tax; </w:t>
      </w:r>
      <w:r>
        <w:rPr>
          <w:rFonts w:ascii="Arial" w:cs="Arial" w:eastAsia="Arial" w:hAnsi="Arial"/>
          <w:sz w:val="22"/>
          <w:szCs w:val="22"/>
          <w:u w:val="single" w:color="auto"/>
          <w:color w:val="000000"/>
        </w:rPr>
        <w:t>provided</w:t>
      </w:r>
      <w:r>
        <w:rPr>
          <w:rFonts w:ascii="Arial" w:cs="Arial" w:eastAsia="Arial" w:hAnsi="Arial"/>
          <w:sz w:val="22"/>
          <w:szCs w:val="22"/>
          <w:color w:val="000000"/>
        </w:rPr>
        <w:t xml:space="preserve"> that such amounts shall not be so</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C-7</w:t>
      </w:r>
    </w:p>
    <w:p>
      <w:pPr>
        <w:sectPr>
          <w:pgSz w:w="11900" w:h="16838" w:orient="portrait"/>
          <w:cols w:equalWidth="0" w:num="1">
            <w:col w:w="11180"/>
          </w:cols>
          <w:pgMar w:left="320" w:top="604" w:right="399" w:bottom="1440" w:gutter="0" w:footer="0" w:header="0"/>
        </w:sectPr>
      </w:pPr>
    </w:p>
    <w:bookmarkStart w:id="75" w:name="page76"/>
    <w:bookmarkEnd w:id="75"/>
    <w:p>
      <w:pPr>
        <w:spacing w:after="0"/>
        <w:rPr>
          <w:sz w:val="20"/>
          <w:szCs w:val="20"/>
          <w:color w:val="auto"/>
        </w:rPr>
      </w:pPr>
      <w:r>
        <w:rPr>
          <w:rFonts w:ascii="Arial" w:cs="Arial" w:eastAsia="Arial" w:hAnsi="Arial"/>
          <w:sz w:val="19"/>
          <w:szCs w:val="19"/>
          <w:color w:val="auto"/>
        </w:rPr>
        <w:t>reduced if the Company determines, based on the advice of Golden Parachute Tax Solutions LLC, or such other nationally recognized certified public accounting firm as may be designated by the Company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that without such reduction you would be entitled to receive and retain, on a net after tax basis (including, without limitation, any excise taxes payable under Section 4999 of the Code), an amount that is greater than the amount, on a net after tax basis, that you would be entitled to retain upon receipt of the Reduced Amount. Unless the Company and you otherwise agree in writing, any determination required under this Section 17 shall be made in writing in good faith by the Accounting Firm. In the event of a reduction of benefits hereunder, benefits shall be reduced by first reducing or eliminating the portion of the CIC Benefits that are payable under this Award Agreement and then by reducing or eliminating the portion of the CIC Benefits that are payable in cash and then by reducing or eliminating the non-cash portion of the CIC Benefits, in each case, in reverse order beginning with payments or benefits which are to be paid the furthest in the future. For purposes of making the calculations required by this Section 17, the Accounting Firm may make reasonable assumptions and approximations concerning applicable taxes and may rely on reasonable, good faith interpretations concerning the application of the Code, and other applicable legal authority. The Company and you shall furnish to the Accounting Firm such information and documents as the Accounting Firm may reasonably require in order to make a determination under this Section 17, and the Company shall bear the cost of all fees the Accounting Firm charges in connection with any calculations contemplated by this Section 17. In connection with making determinations under this Section 17, the Accounting Firm shall take into account the value of any reasonable compensation for services to be rendered by you before or after the Change of Control, including any non-competition provisions that may apply to you and the Company shall cooperate in the valuation of any such services, including any non-competition provisions.</w:t>
      </w:r>
    </w:p>
    <w:p>
      <w:pPr>
        <w:spacing w:after="0" w:line="171" w:lineRule="exact"/>
        <w:rPr>
          <w:sz w:val="20"/>
          <w:szCs w:val="20"/>
          <w:color w:val="auto"/>
        </w:rPr>
      </w:pPr>
    </w:p>
    <w:p>
      <w:pPr>
        <w:ind w:right="100" w:firstLine="1296"/>
        <w:spacing w:after="0" w:line="246" w:lineRule="auto"/>
        <w:rPr>
          <w:sz w:val="20"/>
          <w:szCs w:val="20"/>
          <w:color w:val="auto"/>
        </w:rPr>
      </w:pPr>
      <w:r>
        <w:rPr>
          <w:rFonts w:ascii="Arial" w:cs="Arial" w:eastAsia="Arial" w:hAnsi="Arial"/>
          <w:sz w:val="19"/>
          <w:szCs w:val="19"/>
          <w:color w:val="010000"/>
        </w:rPr>
        <w:t xml:space="preserve">SECTION 18. </w:t>
      </w:r>
      <w:r>
        <w:rPr>
          <w:rFonts w:ascii="Arial" w:cs="Arial" w:eastAsia="Arial" w:hAnsi="Arial"/>
          <w:sz w:val="19"/>
          <w:szCs w:val="19"/>
          <w:u w:val="single" w:color="auto"/>
          <w:color w:val="000000"/>
        </w:rPr>
        <w:t>Securities Trade Monitoring Policy</w:t>
      </w:r>
      <w:r>
        <w:rPr>
          <w:rFonts w:ascii="Arial" w:cs="Arial" w:eastAsia="Arial" w:hAnsi="Arial"/>
          <w:sz w:val="19"/>
          <w:szCs w:val="19"/>
          <w:color w:val="000000"/>
        </w:rPr>
        <w:t>. You are required to maintain a securities</w:t>
      </w:r>
      <w:r>
        <w:rPr>
          <w:rFonts w:ascii="Arial" w:cs="Arial" w:eastAsia="Arial" w:hAnsi="Arial"/>
          <w:sz w:val="19"/>
          <w:szCs w:val="19"/>
          <w:color w:val="010000"/>
        </w:rPr>
        <w:t xml:space="preserve"> </w:t>
      </w:r>
      <w:r>
        <w:rPr>
          <w:rFonts w:ascii="Arial" w:cs="Arial" w:eastAsia="Arial" w:hAnsi="Arial"/>
          <w:sz w:val="19"/>
          <w:szCs w:val="19"/>
          <w:color w:val="000000"/>
        </w:rPr>
        <w:t>brokerage account with the Company’s preferred broker in order to receive any Shares issuable under this Award, in accordance with the Company securities trade monitoring policy (the “</w:t>
      </w:r>
      <w:r>
        <w:rPr>
          <w:rFonts w:ascii="Arial" w:cs="Arial" w:eastAsia="Arial" w:hAnsi="Arial"/>
          <w:sz w:val="19"/>
          <w:szCs w:val="19"/>
          <w:u w:val="single" w:color="auto"/>
          <w:color w:val="000000"/>
        </w:rPr>
        <w:t>Trade Monitoring Policy</w:t>
      </w:r>
      <w:r>
        <w:rPr>
          <w:rFonts w:ascii="Arial" w:cs="Arial" w:eastAsia="Arial" w:hAnsi="Arial"/>
          <w:sz w:val="19"/>
          <w:szCs w:val="19"/>
          <w:color w:val="000000"/>
        </w:rPr>
        <w:t>” ). The Company’s preferred broker is currently Morgan Stanley. Any Shares issued to you pursuant to this Award Agreement shall be deposited in your account with the Company’s preferred broker in accordance with the terms set forth herein. You hereby acknowledge that you have reviewed, and agree to comply with, the terms of the Trade Monitoring Policy, and that this Award, and the value of any Shares issued pursuant to this Award Agreement, shall be subject to forfeiture or recoupment by the Company, as applicable, in the event of your noncompliance with the Trade Monitoring Policy, as it may be in effect from time to time.</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C-8</w:t>
      </w:r>
    </w:p>
    <w:p>
      <w:pPr>
        <w:sectPr>
          <w:pgSz w:w="11900" w:h="16838" w:orient="portrait"/>
          <w:cols w:equalWidth="0" w:num="1">
            <w:col w:w="11180"/>
          </w:cols>
          <w:pgMar w:left="320" w:top="577" w:right="399" w:bottom="1440" w:gutter="0" w:footer="0" w:header="0"/>
        </w:sectPr>
      </w:pPr>
    </w:p>
    <w:bookmarkStart w:id="76" w:name="page77"/>
    <w:bookmarkEnd w:id="76"/>
    <w:p>
      <w:pPr>
        <w:spacing w:after="0"/>
        <w:rPr>
          <w:sz w:val="20"/>
          <w:szCs w:val="20"/>
          <w:color w:val="auto"/>
        </w:rPr>
      </w:pPr>
      <w:r>
        <w:rPr>
          <w:rFonts w:ascii="Arial" w:cs="Arial" w:eastAsia="Arial" w:hAnsi="Arial"/>
          <w:sz w:val="19"/>
          <w:szCs w:val="19"/>
          <w:color w:val="auto"/>
        </w:rPr>
        <w:t>IN WITNESS WHEREOF, the parties have duly executed this Award Agreement as of the date first written above.</w:t>
      </w:r>
    </w:p>
    <w:p>
      <w:pPr>
        <w:sectPr>
          <w:pgSz w:w="11900" w:h="16838" w:orient="portrait"/>
          <w:cols w:equalWidth="0" w:num="1">
            <w:col w:w="9920"/>
          </w:cols>
          <w:pgMar w:left="980" w:top="1117" w:right="9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XPO LOGISTICS, INC.</w:t>
      </w:r>
    </w:p>
    <w:p>
      <w:pPr>
        <w:spacing w:after="0" w:line="200" w:lineRule="exact"/>
        <w:rPr>
          <w:sz w:val="20"/>
          <w:szCs w:val="20"/>
          <w:color w:val="auto"/>
        </w:rPr>
      </w:pPr>
    </w:p>
    <w:p>
      <w:pPr>
        <w:spacing w:after="0" w:line="249"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212725</wp:posOffset>
            </wp:positionV>
            <wp:extent cx="20999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335"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 Meghan Henson</w:t>
      </w:r>
    </w:p>
    <w:p>
      <w:pPr>
        <w:spacing w:after="0" w:line="44"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Title: Chief Human Resources</w:t>
      </w:r>
    </w:p>
    <w:p>
      <w:pPr>
        <w:spacing w:after="0" w:line="43"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KURT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658495</wp:posOffset>
            </wp:positionV>
            <wp:extent cx="20828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PSU Agreement]</w:t>
      </w:r>
    </w:p>
    <w:p>
      <w:pPr>
        <w:sectPr>
          <w:pgSz w:w="11900" w:h="16838" w:orient="portrait"/>
          <w:cols w:equalWidth="0" w:num="1">
            <w:col w:w="9920"/>
          </w:cols>
          <w:pgMar w:left="980" w:top="1117" w:right="999" w:bottom="1440" w:gutter="0" w:footer="0" w:header="0"/>
          <w:type w:val="continuous"/>
        </w:sectPr>
      </w:pPr>
    </w:p>
    <w:bookmarkStart w:id="77" w:name="page78"/>
    <w:bookmarkEnd w:id="77"/>
    <w:tbl>
      <w:tblPr>
        <w:tblLayout w:type="fixed"/>
        <w:tblInd w:w="10" w:type="dxa"/>
        <w:tblCellMar>
          <w:top w:w="0" w:type="dxa"/>
          <w:left w:w="0" w:type="dxa"/>
          <w:bottom w:w="0" w:type="dxa"/>
          <w:right w:w="0" w:type="dxa"/>
        </w:tblCellMar>
      </w:tblPr>
      <w:tr>
        <w:trPr>
          <w:trHeight w:val="274"/>
        </w:trPr>
        <w:tc>
          <w:tcPr>
            <w:tcW w:w="2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740" w:type="dxa"/>
            <w:vAlign w:val="bottom"/>
            <w:gridSpan w:val="3"/>
          </w:tcPr>
          <w:p>
            <w:pPr>
              <w:ind w:left="100"/>
              <w:spacing w:after="0"/>
              <w:rPr>
                <w:sz w:val="20"/>
                <w:szCs w:val="20"/>
                <w:color w:val="auto"/>
              </w:rPr>
            </w:pPr>
            <w:r>
              <w:rPr>
                <w:rFonts w:ascii="Arial" w:cs="Arial" w:eastAsia="Arial" w:hAnsi="Arial"/>
                <w:sz w:val="22"/>
                <w:szCs w:val="22"/>
                <w:color w:val="auto"/>
                <w:w w:val="95"/>
              </w:rPr>
              <w:t>STRICTLY CONFIDENTIAL</w:t>
            </w:r>
          </w:p>
        </w:tc>
      </w:tr>
      <w:tr>
        <w:trPr>
          <w:trHeight w:val="422"/>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0" w:type="dxa"/>
            <w:vAlign w:val="bottom"/>
            <w:gridSpan w:val="7"/>
          </w:tcPr>
          <w:p>
            <w:pPr>
              <w:ind w:left="1160"/>
              <w:spacing w:after="0"/>
              <w:rPr>
                <w:sz w:val="20"/>
                <w:szCs w:val="20"/>
                <w:color w:val="auto"/>
              </w:rPr>
            </w:pPr>
            <w:r>
              <w:rPr>
                <w:rFonts w:ascii="Arial" w:cs="Arial" w:eastAsia="Arial" w:hAnsi="Arial"/>
                <w:sz w:val="22"/>
                <w:szCs w:val="22"/>
                <w:color w:val="auto"/>
              </w:rPr>
              <w:t>Exhibit A</w:t>
            </w:r>
          </w:p>
        </w:tc>
      </w:tr>
      <w:tr>
        <w:trPr>
          <w:trHeight w:val="588"/>
        </w:trPr>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42"/>
        </w:trPr>
        <w:tc>
          <w:tcPr>
            <w:tcW w:w="2600" w:type="dxa"/>
            <w:vAlign w:val="bottom"/>
            <w:tcBorders>
              <w:left w:val="single" w:sz="8" w:color="auto"/>
              <w:right w:val="single" w:sz="8" w:color="auto"/>
            </w:tcBorders>
          </w:tcPr>
          <w:p>
            <w:pPr>
              <w:ind w:left="40"/>
              <w:spacing w:after="0" w:line="242" w:lineRule="exact"/>
              <w:rPr>
                <w:sz w:val="20"/>
                <w:szCs w:val="20"/>
                <w:color w:val="auto"/>
              </w:rPr>
            </w:pPr>
            <w:r>
              <w:rPr>
                <w:rFonts w:ascii="Arial" w:cs="Arial" w:eastAsia="Arial" w:hAnsi="Arial"/>
                <w:sz w:val="22"/>
                <w:szCs w:val="22"/>
                <w:color w:val="auto"/>
              </w:rPr>
              <w:t>Number of RSUs Granted</w:t>
            </w:r>
          </w:p>
        </w:tc>
        <w:tc>
          <w:tcPr>
            <w:tcW w:w="8560" w:type="dxa"/>
            <w:vAlign w:val="bottom"/>
            <w:tcBorders>
              <w:right w:val="single" w:sz="8" w:color="auto"/>
            </w:tcBorders>
            <w:gridSpan w:val="12"/>
          </w:tcPr>
          <w:p>
            <w:pPr>
              <w:ind w:left="20"/>
              <w:spacing w:after="0" w:line="242" w:lineRule="exact"/>
              <w:rPr>
                <w:sz w:val="20"/>
                <w:szCs w:val="20"/>
                <w:color w:val="auto"/>
              </w:rPr>
            </w:pPr>
            <w:r>
              <w:rPr>
                <w:rFonts w:ascii="Arial" w:cs="Arial" w:eastAsia="Arial" w:hAnsi="Arial"/>
                <w:sz w:val="22"/>
                <w:szCs w:val="22"/>
                <w:color w:val="auto"/>
              </w:rPr>
              <w:t>[●] RSUs</w:t>
            </w:r>
            <w:r>
              <w:rPr>
                <w:rFonts w:ascii="Arial" w:cs="Arial" w:eastAsia="Arial" w:hAnsi="Arial"/>
                <w:sz w:val="28"/>
                <w:szCs w:val="28"/>
                <w:color w:val="auto"/>
                <w:vertAlign w:val="superscript"/>
              </w:rPr>
              <w:t>2</w:t>
            </w:r>
          </w:p>
        </w:tc>
        <w:tc>
          <w:tcPr>
            <w:tcW w:w="80" w:type="dxa"/>
            <w:vAlign w:val="bottom"/>
          </w:tcPr>
          <w:p>
            <w:pPr>
              <w:spacing w:after="0"/>
              <w:rPr>
                <w:sz w:val="21"/>
                <w:szCs w:val="21"/>
                <w:color w:val="auto"/>
              </w:rPr>
            </w:pPr>
          </w:p>
        </w:tc>
      </w:tr>
      <w:tr>
        <w:trPr>
          <w:trHeight w:val="285"/>
        </w:trPr>
        <w:tc>
          <w:tcPr>
            <w:tcW w:w="2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Hereunder:</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80"/>
        </w:trPr>
        <w:tc>
          <w:tcPr>
            <w:tcW w:w="2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Performance Goal:</w:t>
            </w:r>
          </w:p>
        </w:tc>
        <w:tc>
          <w:tcPr>
            <w:tcW w:w="8560" w:type="dxa"/>
            <w:vAlign w:val="bottom"/>
            <w:tcBorders>
              <w:right w:val="single" w:sz="8" w:color="auto"/>
            </w:tcBorders>
            <w:gridSpan w:val="12"/>
          </w:tcPr>
          <w:p>
            <w:pPr>
              <w:ind w:left="20"/>
              <w:spacing w:after="0"/>
              <w:rPr>
                <w:sz w:val="20"/>
                <w:szCs w:val="20"/>
                <w:color w:val="auto"/>
              </w:rPr>
            </w:pPr>
            <w:r>
              <w:rPr>
                <w:rFonts w:ascii="Arial" w:cs="Arial" w:eastAsia="Arial" w:hAnsi="Arial"/>
                <w:sz w:val="22"/>
                <w:szCs w:val="22"/>
                <w:color w:val="auto"/>
              </w:rPr>
              <w:t>The Performance Goal shall be achievement of both of the following:</w:t>
            </w:r>
          </w:p>
        </w:tc>
        <w:tc>
          <w:tcPr>
            <w:tcW w:w="80" w:type="dxa"/>
            <w:vAlign w:val="bottom"/>
          </w:tcPr>
          <w:p>
            <w:pPr>
              <w:spacing w:after="0"/>
              <w:rPr>
                <w:sz w:val="24"/>
                <w:szCs w:val="24"/>
                <w:color w:val="auto"/>
              </w:rPr>
            </w:pPr>
          </w:p>
        </w:tc>
      </w:tr>
      <w:tr>
        <w:trPr>
          <w:trHeight w:val="455"/>
        </w:trPr>
        <w:tc>
          <w:tcPr>
            <w:tcW w:w="2600" w:type="dxa"/>
            <w:vAlign w:val="bottom"/>
            <w:tcBorders>
              <w:left w:val="single" w:sz="8" w:color="auto"/>
              <w:right w:val="single" w:sz="8" w:color="auto"/>
            </w:tcBorders>
          </w:tcPr>
          <w:p>
            <w:pPr>
              <w:spacing w:after="0"/>
              <w:rPr>
                <w:sz w:val="24"/>
                <w:szCs w:val="24"/>
                <w:color w:val="auto"/>
              </w:rPr>
            </w:pPr>
          </w:p>
        </w:tc>
        <w:tc>
          <w:tcPr>
            <w:tcW w:w="8560" w:type="dxa"/>
            <w:vAlign w:val="bottom"/>
            <w:tcBorders>
              <w:right w:val="single" w:sz="8" w:color="auto"/>
            </w:tcBorders>
            <w:gridSpan w:val="12"/>
          </w:tcPr>
          <w:p>
            <w:pPr>
              <w:ind w:left="20"/>
              <w:spacing w:after="0"/>
              <w:rPr>
                <w:sz w:val="20"/>
                <w:szCs w:val="20"/>
                <w:color w:val="auto"/>
              </w:rPr>
            </w:pPr>
            <w:r>
              <w:rPr>
                <w:rFonts w:ascii="Arial" w:cs="Arial" w:eastAsia="Arial" w:hAnsi="Arial"/>
                <w:sz w:val="22"/>
                <w:szCs w:val="22"/>
                <w:color w:val="auto"/>
                <w:w w:val="92"/>
              </w:rPr>
              <w:t>(a) Company TSR during the Performance Period exceeds Comparator Group TSR during the</w:t>
            </w:r>
          </w:p>
        </w:tc>
        <w:tc>
          <w:tcPr>
            <w:tcW w:w="80" w:type="dxa"/>
            <w:vAlign w:val="bottom"/>
          </w:tcPr>
          <w:p>
            <w:pPr>
              <w:spacing w:after="0"/>
              <w:rPr>
                <w:sz w:val="24"/>
                <w:szCs w:val="24"/>
                <w:color w:val="auto"/>
              </w:rPr>
            </w:pPr>
          </w:p>
        </w:tc>
      </w:tr>
      <w:tr>
        <w:trPr>
          <w:trHeight w:val="243"/>
        </w:trPr>
        <w:tc>
          <w:tcPr>
            <w:tcW w:w="260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12"/>
          </w:tcPr>
          <w:p>
            <w:pPr>
              <w:ind w:left="20"/>
              <w:spacing w:after="0" w:line="243" w:lineRule="exact"/>
              <w:rPr>
                <w:sz w:val="20"/>
                <w:szCs w:val="20"/>
                <w:color w:val="auto"/>
              </w:rPr>
            </w:pPr>
            <w:r>
              <w:rPr>
                <w:rFonts w:ascii="Arial" w:cs="Arial" w:eastAsia="Arial" w:hAnsi="Arial"/>
                <w:sz w:val="22"/>
                <w:szCs w:val="22"/>
                <w:color w:val="auto"/>
                <w:w w:val="89"/>
              </w:rPr>
              <w:t>Performance Period by a minimum of 34 percentage points (representing outperformance of more</w:t>
            </w:r>
          </w:p>
        </w:tc>
        <w:tc>
          <w:tcPr>
            <w:tcW w:w="80" w:type="dxa"/>
            <w:vAlign w:val="bottom"/>
          </w:tcPr>
          <w:p>
            <w:pPr>
              <w:spacing w:after="0"/>
              <w:rPr>
                <w:sz w:val="21"/>
                <w:szCs w:val="21"/>
                <w:color w:val="auto"/>
              </w:rPr>
            </w:pPr>
          </w:p>
        </w:tc>
      </w:tr>
      <w:tr>
        <w:trPr>
          <w:trHeight w:val="224"/>
        </w:trPr>
        <w:tc>
          <w:tcPr>
            <w:tcW w:w="2600" w:type="dxa"/>
            <w:vAlign w:val="bottom"/>
            <w:tcBorders>
              <w:left w:val="single" w:sz="8" w:color="auto"/>
              <w:right w:val="single" w:sz="8" w:color="auto"/>
            </w:tcBorders>
          </w:tcPr>
          <w:p>
            <w:pPr>
              <w:spacing w:after="0"/>
              <w:rPr>
                <w:sz w:val="19"/>
                <w:szCs w:val="19"/>
                <w:color w:val="auto"/>
              </w:rPr>
            </w:pPr>
          </w:p>
        </w:tc>
        <w:tc>
          <w:tcPr>
            <w:tcW w:w="8560" w:type="dxa"/>
            <w:vAlign w:val="bottom"/>
            <w:tcBorders>
              <w:right w:val="single" w:sz="8" w:color="auto"/>
            </w:tcBorders>
            <w:gridSpan w:val="12"/>
          </w:tcPr>
          <w:p>
            <w:pPr>
              <w:ind w:left="20"/>
              <w:spacing w:after="0" w:line="224" w:lineRule="exact"/>
              <w:rPr>
                <w:sz w:val="20"/>
                <w:szCs w:val="20"/>
                <w:color w:val="auto"/>
              </w:rPr>
            </w:pPr>
            <w:r>
              <w:rPr>
                <w:rFonts w:ascii="Arial" w:cs="Arial" w:eastAsia="Arial" w:hAnsi="Arial"/>
                <w:sz w:val="22"/>
                <w:szCs w:val="22"/>
                <w:color w:val="auto"/>
                <w:w w:val="92"/>
              </w:rPr>
              <w:t>than 5 percentage points on an annualized compounded basis) (the “TSR Performance Goal”);</w:t>
            </w:r>
          </w:p>
        </w:tc>
        <w:tc>
          <w:tcPr>
            <w:tcW w:w="80" w:type="dxa"/>
            <w:vAlign w:val="bottom"/>
          </w:tcPr>
          <w:p>
            <w:pPr>
              <w:spacing w:after="0"/>
              <w:rPr>
                <w:sz w:val="19"/>
                <w:szCs w:val="19"/>
                <w:color w:val="auto"/>
              </w:rPr>
            </w:pPr>
          </w:p>
        </w:tc>
      </w:tr>
      <w:tr>
        <w:trPr>
          <w:trHeight w:val="273"/>
        </w:trPr>
        <w:tc>
          <w:tcPr>
            <w:tcW w:w="2600" w:type="dxa"/>
            <w:vAlign w:val="bottom"/>
            <w:tcBorders>
              <w:left w:val="single" w:sz="8" w:color="auto"/>
              <w:right w:val="single" w:sz="8" w:color="auto"/>
            </w:tcBorders>
          </w:tcPr>
          <w:p>
            <w:pPr>
              <w:spacing w:after="0"/>
              <w:rPr>
                <w:sz w:val="23"/>
                <w:szCs w:val="23"/>
                <w:color w:val="auto"/>
              </w:rPr>
            </w:pPr>
          </w:p>
        </w:tc>
        <w:tc>
          <w:tcPr>
            <w:tcW w:w="5900" w:type="dxa"/>
            <w:vAlign w:val="bottom"/>
            <w:gridSpan w:val="10"/>
          </w:tcPr>
          <w:p>
            <w:pPr>
              <w:ind w:left="20"/>
              <w:spacing w:after="0"/>
              <w:rPr>
                <w:sz w:val="20"/>
                <w:szCs w:val="20"/>
                <w:color w:val="auto"/>
              </w:rPr>
            </w:pPr>
            <w:r>
              <w:rPr>
                <w:rFonts w:ascii="Arial" w:cs="Arial" w:eastAsia="Arial" w:hAnsi="Arial"/>
                <w:sz w:val="22"/>
                <w:szCs w:val="22"/>
                <w:color w:val="auto"/>
              </w:rPr>
              <w:t>and</w:t>
            </w:r>
          </w:p>
        </w:tc>
        <w:tc>
          <w:tcPr>
            <w:tcW w:w="2040" w:type="dxa"/>
            <w:vAlign w:val="bottom"/>
            <w:tcBorders>
              <w:top w:val="single" w:sz="8" w:color="auto"/>
            </w:tcBorders>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455"/>
        </w:trPr>
        <w:tc>
          <w:tcPr>
            <w:tcW w:w="2600" w:type="dxa"/>
            <w:vAlign w:val="bottom"/>
            <w:tcBorders>
              <w:left w:val="single" w:sz="8" w:color="auto"/>
              <w:right w:val="single" w:sz="8" w:color="auto"/>
            </w:tcBorders>
          </w:tcPr>
          <w:p>
            <w:pPr>
              <w:spacing w:after="0"/>
              <w:rPr>
                <w:sz w:val="24"/>
                <w:szCs w:val="24"/>
                <w:color w:val="auto"/>
              </w:rPr>
            </w:pPr>
          </w:p>
        </w:tc>
        <w:tc>
          <w:tcPr>
            <w:tcW w:w="8560" w:type="dxa"/>
            <w:vAlign w:val="bottom"/>
            <w:tcBorders>
              <w:right w:val="single" w:sz="8" w:color="auto"/>
            </w:tcBorders>
            <w:gridSpan w:val="12"/>
          </w:tcPr>
          <w:p>
            <w:pPr>
              <w:ind w:left="20"/>
              <w:spacing w:after="0"/>
              <w:rPr>
                <w:sz w:val="20"/>
                <w:szCs w:val="20"/>
                <w:color w:val="auto"/>
              </w:rPr>
            </w:pPr>
            <w:r>
              <w:rPr>
                <w:rFonts w:ascii="Arial" w:cs="Arial" w:eastAsia="Arial" w:hAnsi="Arial"/>
                <w:sz w:val="22"/>
                <w:szCs w:val="22"/>
                <w:color w:val="auto"/>
                <w:w w:val="92"/>
              </w:rPr>
              <w:t>(b) the compound annual growth rate of the Company’s Adjusted EPS during the Performance</w:t>
            </w:r>
          </w:p>
        </w:tc>
        <w:tc>
          <w:tcPr>
            <w:tcW w:w="80" w:type="dxa"/>
            <w:vAlign w:val="bottom"/>
          </w:tcPr>
          <w:p>
            <w:pPr>
              <w:spacing w:after="0"/>
              <w:rPr>
                <w:sz w:val="24"/>
                <w:szCs w:val="24"/>
                <w:color w:val="auto"/>
              </w:rPr>
            </w:pPr>
          </w:p>
        </w:tc>
      </w:tr>
      <w:tr>
        <w:trPr>
          <w:trHeight w:val="243"/>
        </w:trPr>
        <w:tc>
          <w:tcPr>
            <w:tcW w:w="260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12"/>
          </w:tcPr>
          <w:p>
            <w:pPr>
              <w:ind w:left="20"/>
              <w:spacing w:after="0" w:line="243" w:lineRule="exact"/>
              <w:rPr>
                <w:sz w:val="20"/>
                <w:szCs w:val="20"/>
                <w:color w:val="auto"/>
              </w:rPr>
            </w:pPr>
            <w:r>
              <w:rPr>
                <w:rFonts w:ascii="Arial" w:cs="Arial" w:eastAsia="Arial" w:hAnsi="Arial"/>
                <w:sz w:val="22"/>
                <w:szCs w:val="22"/>
                <w:color w:val="auto"/>
                <w:w w:val="89"/>
              </w:rPr>
              <w:t>Period, measured by reference to the Company’s full year 2018 Adjusted EPS of $3.19, is at least</w:t>
            </w:r>
          </w:p>
        </w:tc>
        <w:tc>
          <w:tcPr>
            <w:tcW w:w="80" w:type="dxa"/>
            <w:vAlign w:val="bottom"/>
          </w:tcPr>
          <w:p>
            <w:pPr>
              <w:spacing w:after="0"/>
              <w:rPr>
                <w:sz w:val="21"/>
                <w:szCs w:val="21"/>
                <w:color w:val="auto"/>
              </w:rPr>
            </w:pPr>
          </w:p>
        </w:tc>
      </w:tr>
      <w:tr>
        <w:trPr>
          <w:trHeight w:val="224"/>
        </w:trPr>
        <w:tc>
          <w:tcPr>
            <w:tcW w:w="2600" w:type="dxa"/>
            <w:vAlign w:val="bottom"/>
            <w:tcBorders>
              <w:left w:val="single" w:sz="8" w:color="auto"/>
              <w:right w:val="single" w:sz="8" w:color="auto"/>
            </w:tcBorders>
          </w:tcPr>
          <w:p>
            <w:pPr>
              <w:spacing w:after="0"/>
              <w:rPr>
                <w:sz w:val="19"/>
                <w:szCs w:val="19"/>
                <w:color w:val="auto"/>
              </w:rPr>
            </w:pPr>
          </w:p>
        </w:tc>
        <w:tc>
          <w:tcPr>
            <w:tcW w:w="8560" w:type="dxa"/>
            <w:vAlign w:val="bottom"/>
            <w:tcBorders>
              <w:right w:val="single" w:sz="8" w:color="auto"/>
            </w:tcBorders>
            <w:gridSpan w:val="12"/>
          </w:tcPr>
          <w:p>
            <w:pPr>
              <w:ind w:left="20"/>
              <w:spacing w:after="0" w:line="224" w:lineRule="exact"/>
              <w:rPr>
                <w:sz w:val="20"/>
                <w:szCs w:val="20"/>
                <w:color w:val="auto"/>
              </w:rPr>
            </w:pPr>
            <w:r>
              <w:rPr>
                <w:rFonts w:ascii="Arial" w:cs="Arial" w:eastAsia="Arial" w:hAnsi="Arial"/>
                <w:sz w:val="22"/>
                <w:szCs w:val="22"/>
                <w:color w:val="auto"/>
              </w:rPr>
              <w:t>19% (the “Adjusted EPS Performance Goal”).</w:t>
            </w:r>
          </w:p>
        </w:tc>
        <w:tc>
          <w:tcPr>
            <w:tcW w:w="80" w:type="dxa"/>
            <w:vAlign w:val="bottom"/>
          </w:tcPr>
          <w:p>
            <w:pPr>
              <w:spacing w:after="0"/>
              <w:rPr>
                <w:sz w:val="19"/>
                <w:szCs w:val="19"/>
                <w:color w:val="auto"/>
              </w:rPr>
            </w:pPr>
          </w:p>
        </w:tc>
      </w:tr>
      <w:tr>
        <w:trPr>
          <w:trHeight w:val="20"/>
        </w:trPr>
        <w:tc>
          <w:tcPr>
            <w:tcW w:w="260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340" w:type="dxa"/>
            <w:vAlign w:val="bottom"/>
            <w:tcBorders>
              <w:left w:val="single" w:sz="8" w:color="auto"/>
            </w:tcBorders>
            <w:gridSpan w:val="3"/>
            <w:shd w:val="clear" w:color="auto" w:fill="000000"/>
          </w:tcPr>
          <w:p>
            <w:pPr>
              <w:spacing w:after="0" w:line="20" w:lineRule="exact"/>
              <w:rPr>
                <w:sz w:val="1"/>
                <w:szCs w:val="1"/>
                <w:color w:val="auto"/>
              </w:rPr>
            </w:pPr>
          </w:p>
        </w:tc>
        <w:tc>
          <w:tcPr>
            <w:tcW w:w="4780" w:type="dxa"/>
            <w:vAlign w:val="bottom"/>
            <w:tcBorders>
              <w:right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2600" w:type="dxa"/>
            <w:vAlign w:val="bottom"/>
            <w:tcBorders>
              <w:left w:val="single" w:sz="8" w:color="auto"/>
              <w:right w:val="single" w:sz="8" w:color="auto"/>
            </w:tcBorders>
          </w:tcPr>
          <w:p>
            <w:pPr>
              <w:spacing w:after="0"/>
              <w:rPr>
                <w:sz w:val="24"/>
                <w:szCs w:val="24"/>
                <w:color w:val="auto"/>
              </w:rPr>
            </w:pPr>
          </w:p>
        </w:tc>
        <w:tc>
          <w:tcPr>
            <w:tcW w:w="8560" w:type="dxa"/>
            <w:vAlign w:val="bottom"/>
            <w:tcBorders>
              <w:right w:val="single" w:sz="8" w:color="auto"/>
            </w:tcBorders>
            <w:gridSpan w:val="12"/>
          </w:tcPr>
          <w:p>
            <w:pPr>
              <w:ind w:left="20"/>
              <w:spacing w:after="0"/>
              <w:rPr>
                <w:sz w:val="20"/>
                <w:szCs w:val="20"/>
                <w:color w:val="auto"/>
              </w:rPr>
            </w:pPr>
            <w:r>
              <w:rPr>
                <w:rFonts w:ascii="Arial" w:cs="Arial" w:eastAsia="Arial" w:hAnsi="Arial"/>
                <w:sz w:val="22"/>
                <w:szCs w:val="22"/>
                <w:color w:val="auto"/>
                <w:w w:val="89"/>
              </w:rPr>
              <w:t>“Adjusted EPS” means the Company’s net income attributable to common shareholders, adjusted</w:t>
            </w:r>
          </w:p>
        </w:tc>
        <w:tc>
          <w:tcPr>
            <w:tcW w:w="80" w:type="dxa"/>
            <w:vAlign w:val="bottom"/>
          </w:tcPr>
          <w:p>
            <w:pPr>
              <w:spacing w:after="0"/>
              <w:rPr>
                <w:sz w:val="24"/>
                <w:szCs w:val="24"/>
                <w:color w:val="auto"/>
              </w:rPr>
            </w:pPr>
          </w:p>
        </w:tc>
      </w:tr>
      <w:tr>
        <w:trPr>
          <w:trHeight w:val="20"/>
        </w:trPr>
        <w:tc>
          <w:tcPr>
            <w:tcW w:w="260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20" w:type="dxa"/>
            <w:vAlign w:val="bottom"/>
            <w:tcBorders>
              <w:right w:val="single" w:sz="8" w:color="auto"/>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2"/>
        </w:trPr>
        <w:tc>
          <w:tcPr>
            <w:tcW w:w="260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12"/>
          </w:tcPr>
          <w:p>
            <w:pPr>
              <w:ind w:left="20"/>
              <w:spacing w:after="0" w:line="242" w:lineRule="exact"/>
              <w:rPr>
                <w:sz w:val="20"/>
                <w:szCs w:val="20"/>
                <w:color w:val="auto"/>
              </w:rPr>
            </w:pPr>
            <w:r>
              <w:rPr>
                <w:rFonts w:ascii="Arial" w:cs="Arial" w:eastAsia="Arial" w:hAnsi="Arial"/>
                <w:sz w:val="22"/>
                <w:szCs w:val="22"/>
                <w:color w:val="auto"/>
                <w:w w:val="89"/>
              </w:rPr>
              <w:t>for the impact of certain costs and gains that management has determined are not reflective of the</w:t>
            </w:r>
          </w:p>
        </w:tc>
        <w:tc>
          <w:tcPr>
            <w:tcW w:w="80" w:type="dxa"/>
            <w:vAlign w:val="bottom"/>
          </w:tcPr>
          <w:p>
            <w:pPr>
              <w:spacing w:after="0"/>
              <w:rPr>
                <w:sz w:val="21"/>
                <w:szCs w:val="21"/>
                <w:color w:val="auto"/>
              </w:rPr>
            </w:pPr>
          </w:p>
        </w:tc>
      </w:tr>
      <w:tr>
        <w:trPr>
          <w:trHeight w:val="243"/>
        </w:trPr>
        <w:tc>
          <w:tcPr>
            <w:tcW w:w="260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12"/>
          </w:tcPr>
          <w:p>
            <w:pPr>
              <w:ind w:left="20"/>
              <w:spacing w:after="0" w:line="243" w:lineRule="exact"/>
              <w:rPr>
                <w:sz w:val="20"/>
                <w:szCs w:val="20"/>
                <w:color w:val="auto"/>
              </w:rPr>
            </w:pPr>
            <w:r>
              <w:rPr>
                <w:rFonts w:ascii="Arial" w:cs="Arial" w:eastAsia="Arial" w:hAnsi="Arial"/>
                <w:sz w:val="22"/>
                <w:szCs w:val="22"/>
                <w:color w:val="auto"/>
                <w:w w:val="99"/>
              </w:rPr>
              <w:t>Company’s core operating activities, governed by the Company’s internal policy entitled</w:t>
            </w:r>
          </w:p>
        </w:tc>
        <w:tc>
          <w:tcPr>
            <w:tcW w:w="80" w:type="dxa"/>
            <w:vAlign w:val="bottom"/>
          </w:tcPr>
          <w:p>
            <w:pPr>
              <w:spacing w:after="0"/>
              <w:rPr>
                <w:sz w:val="21"/>
                <w:szCs w:val="21"/>
                <w:color w:val="auto"/>
              </w:rPr>
            </w:pPr>
          </w:p>
        </w:tc>
      </w:tr>
      <w:tr>
        <w:trPr>
          <w:trHeight w:val="243"/>
        </w:trPr>
        <w:tc>
          <w:tcPr>
            <w:tcW w:w="260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12"/>
          </w:tcPr>
          <w:p>
            <w:pPr>
              <w:ind w:left="20"/>
              <w:spacing w:after="0" w:line="243" w:lineRule="exact"/>
              <w:rPr>
                <w:sz w:val="20"/>
                <w:szCs w:val="20"/>
                <w:color w:val="auto"/>
              </w:rPr>
            </w:pPr>
            <w:r>
              <w:rPr>
                <w:rFonts w:ascii="Arial" w:cs="Arial" w:eastAsia="Arial" w:hAnsi="Arial"/>
                <w:sz w:val="22"/>
                <w:szCs w:val="22"/>
                <w:color w:val="auto"/>
                <w:w w:val="91"/>
              </w:rPr>
              <w:t>“Presentation and Disclosure of Non-GAAP Financial Measures” as in effect on the Grant Date,</w:t>
            </w:r>
          </w:p>
        </w:tc>
        <w:tc>
          <w:tcPr>
            <w:tcW w:w="80" w:type="dxa"/>
            <w:vAlign w:val="bottom"/>
          </w:tcPr>
          <w:p>
            <w:pPr>
              <w:spacing w:after="0"/>
              <w:rPr>
                <w:sz w:val="21"/>
                <w:szCs w:val="21"/>
                <w:color w:val="auto"/>
              </w:rPr>
            </w:pPr>
          </w:p>
        </w:tc>
      </w:tr>
      <w:tr>
        <w:trPr>
          <w:trHeight w:val="274"/>
        </w:trPr>
        <w:tc>
          <w:tcPr>
            <w:tcW w:w="2600" w:type="dxa"/>
            <w:vAlign w:val="bottom"/>
            <w:tcBorders>
              <w:left w:val="single" w:sz="8" w:color="auto"/>
              <w:right w:val="single" w:sz="8" w:color="auto"/>
            </w:tcBorders>
          </w:tcPr>
          <w:p>
            <w:pPr>
              <w:spacing w:after="0"/>
              <w:rPr>
                <w:sz w:val="23"/>
                <w:szCs w:val="23"/>
                <w:color w:val="auto"/>
              </w:rPr>
            </w:pPr>
          </w:p>
        </w:tc>
        <w:tc>
          <w:tcPr>
            <w:tcW w:w="8560" w:type="dxa"/>
            <w:vAlign w:val="bottom"/>
            <w:tcBorders>
              <w:right w:val="single" w:sz="8" w:color="auto"/>
            </w:tcBorders>
            <w:gridSpan w:val="12"/>
          </w:tcPr>
          <w:p>
            <w:pPr>
              <w:ind w:left="20"/>
              <w:spacing w:after="0"/>
              <w:rPr>
                <w:sz w:val="20"/>
                <w:szCs w:val="20"/>
                <w:color w:val="auto"/>
              </w:rPr>
            </w:pPr>
            <w:r>
              <w:rPr>
                <w:rFonts w:ascii="Arial" w:cs="Arial" w:eastAsia="Arial" w:hAnsi="Arial"/>
                <w:sz w:val="22"/>
                <w:szCs w:val="22"/>
                <w:color w:val="auto"/>
              </w:rPr>
              <w:t>and reported externally in the Company’s earnings press releases.</w:t>
            </w:r>
          </w:p>
        </w:tc>
        <w:tc>
          <w:tcPr>
            <w:tcW w:w="80" w:type="dxa"/>
            <w:vAlign w:val="bottom"/>
          </w:tcPr>
          <w:p>
            <w:pPr>
              <w:spacing w:after="0"/>
              <w:rPr>
                <w:sz w:val="23"/>
                <w:szCs w:val="23"/>
                <w:color w:val="auto"/>
              </w:rPr>
            </w:pPr>
          </w:p>
        </w:tc>
      </w:tr>
      <w:tr>
        <w:trPr>
          <w:trHeight w:val="435"/>
        </w:trPr>
        <w:tc>
          <w:tcPr>
            <w:tcW w:w="2600" w:type="dxa"/>
            <w:vAlign w:val="bottom"/>
            <w:tcBorders>
              <w:left w:val="single" w:sz="8" w:color="auto"/>
              <w:right w:val="single" w:sz="8" w:color="auto"/>
            </w:tcBorders>
          </w:tcPr>
          <w:p>
            <w:pPr>
              <w:spacing w:after="0"/>
              <w:rPr>
                <w:sz w:val="24"/>
                <w:szCs w:val="24"/>
                <w:color w:val="auto"/>
              </w:rPr>
            </w:pPr>
          </w:p>
        </w:tc>
        <w:tc>
          <w:tcPr>
            <w:tcW w:w="8560" w:type="dxa"/>
            <w:vAlign w:val="bottom"/>
            <w:tcBorders>
              <w:right w:val="single" w:sz="8" w:color="auto"/>
            </w:tcBorders>
            <w:gridSpan w:val="12"/>
          </w:tcPr>
          <w:p>
            <w:pPr>
              <w:ind w:left="20"/>
              <w:spacing w:after="0"/>
              <w:rPr>
                <w:sz w:val="20"/>
                <w:szCs w:val="20"/>
                <w:color w:val="auto"/>
              </w:rPr>
            </w:pPr>
            <w:r>
              <w:rPr>
                <w:rFonts w:ascii="Arial" w:cs="Arial" w:eastAsia="Arial" w:hAnsi="Arial"/>
                <w:sz w:val="22"/>
                <w:szCs w:val="22"/>
                <w:color w:val="auto"/>
                <w:w w:val="90"/>
              </w:rPr>
              <w:t>“Beginning Price” shall mean the average of the closing prices of the Index or of common shares</w:t>
            </w:r>
          </w:p>
        </w:tc>
        <w:tc>
          <w:tcPr>
            <w:tcW w:w="80" w:type="dxa"/>
            <w:vAlign w:val="bottom"/>
          </w:tcPr>
          <w:p>
            <w:pPr>
              <w:spacing w:after="0"/>
              <w:rPr>
                <w:sz w:val="24"/>
                <w:szCs w:val="24"/>
                <w:color w:val="auto"/>
              </w:rPr>
            </w:pPr>
          </w:p>
        </w:tc>
      </w:tr>
      <w:tr>
        <w:trPr>
          <w:trHeight w:val="20"/>
        </w:trPr>
        <w:tc>
          <w:tcPr>
            <w:tcW w:w="260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120" w:type="dxa"/>
            <w:vAlign w:val="bottom"/>
            <w:tcBorders>
              <w:left w:val="single" w:sz="8" w:color="auto"/>
              <w:right w:val="single" w:sz="8" w:color="auto"/>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2"/>
        </w:trPr>
        <w:tc>
          <w:tcPr>
            <w:tcW w:w="260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12"/>
          </w:tcPr>
          <w:p>
            <w:pPr>
              <w:ind w:left="20"/>
              <w:spacing w:after="0" w:line="242" w:lineRule="exact"/>
              <w:rPr>
                <w:sz w:val="20"/>
                <w:szCs w:val="20"/>
                <w:color w:val="auto"/>
              </w:rPr>
            </w:pPr>
            <w:r>
              <w:rPr>
                <w:rFonts w:ascii="Arial" w:cs="Arial" w:eastAsia="Arial" w:hAnsi="Arial"/>
                <w:sz w:val="22"/>
                <w:szCs w:val="22"/>
                <w:color w:val="auto"/>
                <w:w w:val="89"/>
              </w:rPr>
              <w:t>of the Company, as applicable, during the twenty (20) consecutive trading days ending on the last</w:t>
            </w:r>
          </w:p>
        </w:tc>
        <w:tc>
          <w:tcPr>
            <w:tcW w:w="80" w:type="dxa"/>
            <w:vAlign w:val="bottom"/>
          </w:tcPr>
          <w:p>
            <w:pPr>
              <w:spacing w:after="0"/>
              <w:rPr>
                <w:sz w:val="21"/>
                <w:szCs w:val="21"/>
                <w:color w:val="auto"/>
              </w:rPr>
            </w:pPr>
          </w:p>
        </w:tc>
      </w:tr>
      <w:tr>
        <w:trPr>
          <w:trHeight w:val="274"/>
        </w:trPr>
        <w:tc>
          <w:tcPr>
            <w:tcW w:w="2600" w:type="dxa"/>
            <w:vAlign w:val="bottom"/>
            <w:tcBorders>
              <w:left w:val="single" w:sz="8" w:color="auto"/>
              <w:right w:val="single" w:sz="8" w:color="auto"/>
            </w:tcBorders>
          </w:tcPr>
          <w:p>
            <w:pPr>
              <w:spacing w:after="0"/>
              <w:rPr>
                <w:sz w:val="23"/>
                <w:szCs w:val="23"/>
                <w:color w:val="auto"/>
              </w:rPr>
            </w:pPr>
          </w:p>
        </w:tc>
        <w:tc>
          <w:tcPr>
            <w:tcW w:w="8560" w:type="dxa"/>
            <w:vAlign w:val="bottom"/>
            <w:tcBorders>
              <w:right w:val="single" w:sz="8" w:color="auto"/>
            </w:tcBorders>
            <w:gridSpan w:val="12"/>
          </w:tcPr>
          <w:p>
            <w:pPr>
              <w:ind w:left="20"/>
              <w:spacing w:after="0"/>
              <w:rPr>
                <w:sz w:val="20"/>
                <w:szCs w:val="20"/>
                <w:color w:val="auto"/>
              </w:rPr>
            </w:pPr>
            <w:r>
              <w:rPr>
                <w:rFonts w:ascii="Arial" w:cs="Arial" w:eastAsia="Arial" w:hAnsi="Arial"/>
                <w:sz w:val="22"/>
                <w:szCs w:val="22"/>
                <w:color w:val="auto"/>
              </w:rPr>
              <w:t>trading day immediately preceding the first day of the Performance Period.</w:t>
            </w:r>
          </w:p>
        </w:tc>
        <w:tc>
          <w:tcPr>
            <w:tcW w:w="80" w:type="dxa"/>
            <w:vAlign w:val="bottom"/>
          </w:tcPr>
          <w:p>
            <w:pPr>
              <w:spacing w:after="0"/>
              <w:rPr>
                <w:sz w:val="23"/>
                <w:szCs w:val="23"/>
                <w:color w:val="auto"/>
              </w:rPr>
            </w:pPr>
          </w:p>
        </w:tc>
      </w:tr>
      <w:tr>
        <w:trPr>
          <w:trHeight w:val="435"/>
        </w:trPr>
        <w:tc>
          <w:tcPr>
            <w:tcW w:w="2600" w:type="dxa"/>
            <w:vAlign w:val="bottom"/>
            <w:tcBorders>
              <w:left w:val="single" w:sz="8" w:color="auto"/>
              <w:right w:val="single" w:sz="8" w:color="auto"/>
            </w:tcBorders>
          </w:tcPr>
          <w:p>
            <w:pPr>
              <w:spacing w:after="0"/>
              <w:rPr>
                <w:sz w:val="24"/>
                <w:szCs w:val="24"/>
                <w:color w:val="auto"/>
              </w:rPr>
            </w:pPr>
          </w:p>
        </w:tc>
        <w:tc>
          <w:tcPr>
            <w:tcW w:w="8560" w:type="dxa"/>
            <w:vAlign w:val="bottom"/>
            <w:tcBorders>
              <w:right w:val="single" w:sz="8" w:color="auto"/>
            </w:tcBorders>
            <w:gridSpan w:val="12"/>
          </w:tcPr>
          <w:p>
            <w:pPr>
              <w:ind w:left="20"/>
              <w:spacing w:after="0"/>
              <w:rPr>
                <w:sz w:val="20"/>
                <w:szCs w:val="20"/>
                <w:color w:val="auto"/>
              </w:rPr>
            </w:pPr>
            <w:r>
              <w:rPr>
                <w:rFonts w:ascii="Arial" w:cs="Arial" w:eastAsia="Arial" w:hAnsi="Arial"/>
                <w:sz w:val="22"/>
                <w:szCs w:val="22"/>
                <w:color w:val="auto"/>
              </w:rPr>
              <w:t>“Index” means the S&amp;P Transportation Select Industry Index.</w:t>
            </w:r>
          </w:p>
        </w:tc>
        <w:tc>
          <w:tcPr>
            <w:tcW w:w="80" w:type="dxa"/>
            <w:vAlign w:val="bottom"/>
          </w:tcPr>
          <w:p>
            <w:pPr>
              <w:spacing w:after="0"/>
              <w:rPr>
                <w:sz w:val="24"/>
                <w:szCs w:val="24"/>
                <w:color w:val="auto"/>
              </w:rPr>
            </w:pPr>
          </w:p>
        </w:tc>
      </w:tr>
      <w:tr>
        <w:trPr>
          <w:trHeight w:val="20"/>
        </w:trPr>
        <w:tc>
          <w:tcPr>
            <w:tcW w:w="260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120" w:type="dxa"/>
            <w:vAlign w:val="bottom"/>
            <w:tcBorders>
              <w:right w:val="single" w:sz="8" w:color="auto"/>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2600" w:type="dxa"/>
            <w:vAlign w:val="bottom"/>
            <w:tcBorders>
              <w:left w:val="single" w:sz="8" w:color="auto"/>
              <w:right w:val="single" w:sz="8" w:color="auto"/>
            </w:tcBorders>
          </w:tcPr>
          <w:p>
            <w:pPr>
              <w:spacing w:after="0"/>
              <w:rPr>
                <w:sz w:val="24"/>
                <w:szCs w:val="24"/>
                <w:color w:val="auto"/>
              </w:rPr>
            </w:pPr>
          </w:p>
        </w:tc>
        <w:tc>
          <w:tcPr>
            <w:tcW w:w="8560" w:type="dxa"/>
            <w:vAlign w:val="bottom"/>
            <w:tcBorders>
              <w:right w:val="single" w:sz="8" w:color="auto"/>
            </w:tcBorders>
            <w:gridSpan w:val="12"/>
          </w:tcPr>
          <w:p>
            <w:pPr>
              <w:ind w:left="20"/>
              <w:spacing w:after="0"/>
              <w:rPr>
                <w:sz w:val="20"/>
                <w:szCs w:val="20"/>
                <w:color w:val="auto"/>
              </w:rPr>
            </w:pPr>
            <w:r>
              <w:rPr>
                <w:rFonts w:ascii="Arial" w:cs="Arial" w:eastAsia="Arial" w:hAnsi="Arial"/>
                <w:sz w:val="22"/>
                <w:szCs w:val="22"/>
                <w:color w:val="auto"/>
                <w:w w:val="89"/>
              </w:rPr>
              <w:t>“Dividends Paid” shall mean all cash dividends paid by the applicable company with respect to an</w:t>
            </w:r>
          </w:p>
        </w:tc>
        <w:tc>
          <w:tcPr>
            <w:tcW w:w="80" w:type="dxa"/>
            <w:vAlign w:val="bottom"/>
          </w:tcPr>
          <w:p>
            <w:pPr>
              <w:spacing w:after="0"/>
              <w:rPr>
                <w:sz w:val="24"/>
                <w:szCs w:val="24"/>
                <w:color w:val="auto"/>
              </w:rPr>
            </w:pPr>
          </w:p>
        </w:tc>
      </w:tr>
      <w:tr>
        <w:trPr>
          <w:trHeight w:val="20"/>
        </w:trPr>
        <w:tc>
          <w:tcPr>
            <w:tcW w:w="260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120" w:type="dxa"/>
            <w:vAlign w:val="bottom"/>
            <w:tcBorders>
              <w:right w:val="single" w:sz="8" w:color="auto"/>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2"/>
        </w:trPr>
        <w:tc>
          <w:tcPr>
            <w:tcW w:w="260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12"/>
          </w:tcPr>
          <w:p>
            <w:pPr>
              <w:ind w:left="20"/>
              <w:spacing w:after="0" w:line="242" w:lineRule="exact"/>
              <w:rPr>
                <w:sz w:val="20"/>
                <w:szCs w:val="20"/>
                <w:color w:val="auto"/>
              </w:rPr>
            </w:pPr>
            <w:r>
              <w:rPr>
                <w:rFonts w:ascii="Arial" w:cs="Arial" w:eastAsia="Arial" w:hAnsi="Arial"/>
                <w:sz w:val="22"/>
                <w:szCs w:val="22"/>
                <w:color w:val="auto"/>
                <w:w w:val="89"/>
              </w:rPr>
              <w:t>ex-dividend date that occurs during the Performance Period (whether or not the dividend payment</w:t>
            </w:r>
          </w:p>
        </w:tc>
        <w:tc>
          <w:tcPr>
            <w:tcW w:w="80" w:type="dxa"/>
            <w:vAlign w:val="bottom"/>
          </w:tcPr>
          <w:p>
            <w:pPr>
              <w:spacing w:after="0"/>
              <w:rPr>
                <w:sz w:val="21"/>
                <w:szCs w:val="21"/>
                <w:color w:val="auto"/>
              </w:rPr>
            </w:pPr>
          </w:p>
        </w:tc>
      </w:tr>
      <w:tr>
        <w:trPr>
          <w:trHeight w:val="243"/>
        </w:trPr>
        <w:tc>
          <w:tcPr>
            <w:tcW w:w="260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12"/>
          </w:tcPr>
          <w:p>
            <w:pPr>
              <w:ind w:left="20"/>
              <w:spacing w:after="0" w:line="243" w:lineRule="exact"/>
              <w:rPr>
                <w:sz w:val="20"/>
                <w:szCs w:val="20"/>
                <w:color w:val="auto"/>
              </w:rPr>
            </w:pPr>
            <w:r>
              <w:rPr>
                <w:rFonts w:ascii="Arial" w:cs="Arial" w:eastAsia="Arial" w:hAnsi="Arial"/>
                <w:sz w:val="22"/>
                <w:szCs w:val="22"/>
                <w:color w:val="auto"/>
                <w:w w:val="88"/>
              </w:rPr>
              <w:t>date occurs during the Performance Period), which shall be deemed to have been reinvested in the</w:t>
            </w:r>
          </w:p>
        </w:tc>
        <w:tc>
          <w:tcPr>
            <w:tcW w:w="80" w:type="dxa"/>
            <w:vAlign w:val="bottom"/>
          </w:tcPr>
          <w:p>
            <w:pPr>
              <w:spacing w:after="0"/>
              <w:rPr>
                <w:sz w:val="21"/>
                <w:szCs w:val="21"/>
                <w:color w:val="auto"/>
              </w:rPr>
            </w:pPr>
          </w:p>
        </w:tc>
      </w:tr>
      <w:tr>
        <w:trPr>
          <w:trHeight w:val="243"/>
        </w:trPr>
        <w:tc>
          <w:tcPr>
            <w:tcW w:w="260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12"/>
          </w:tcPr>
          <w:p>
            <w:pPr>
              <w:ind w:left="20"/>
              <w:spacing w:after="0" w:line="243" w:lineRule="exact"/>
              <w:rPr>
                <w:sz w:val="20"/>
                <w:szCs w:val="20"/>
                <w:color w:val="auto"/>
              </w:rPr>
            </w:pPr>
            <w:r>
              <w:rPr>
                <w:rFonts w:ascii="Arial" w:cs="Arial" w:eastAsia="Arial" w:hAnsi="Arial"/>
                <w:sz w:val="22"/>
                <w:szCs w:val="22"/>
                <w:color w:val="auto"/>
                <w:w w:val="90"/>
              </w:rPr>
              <w:t>underlying common shares and shall include cash dividends paid with respect to such reinvested</w:t>
            </w:r>
          </w:p>
        </w:tc>
        <w:tc>
          <w:tcPr>
            <w:tcW w:w="80" w:type="dxa"/>
            <w:vAlign w:val="bottom"/>
          </w:tcPr>
          <w:p>
            <w:pPr>
              <w:spacing w:after="0"/>
              <w:rPr>
                <w:sz w:val="21"/>
                <w:szCs w:val="21"/>
                <w:color w:val="auto"/>
              </w:rPr>
            </w:pPr>
          </w:p>
        </w:tc>
      </w:tr>
      <w:tr>
        <w:trPr>
          <w:trHeight w:val="243"/>
        </w:trPr>
        <w:tc>
          <w:tcPr>
            <w:tcW w:w="260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12"/>
          </w:tcPr>
          <w:p>
            <w:pPr>
              <w:ind w:left="20"/>
              <w:spacing w:after="0" w:line="243" w:lineRule="exact"/>
              <w:rPr>
                <w:sz w:val="20"/>
                <w:szCs w:val="20"/>
                <w:color w:val="auto"/>
              </w:rPr>
            </w:pPr>
            <w:r>
              <w:rPr>
                <w:rFonts w:ascii="Arial" w:cs="Arial" w:eastAsia="Arial" w:hAnsi="Arial"/>
                <w:sz w:val="22"/>
                <w:szCs w:val="22"/>
                <w:color w:val="auto"/>
                <w:w w:val="94"/>
              </w:rPr>
              <w:t>dividends. As applied to the Index, Dividends Paid shall relate to dividends of the constituent</w:t>
            </w:r>
          </w:p>
        </w:tc>
        <w:tc>
          <w:tcPr>
            <w:tcW w:w="80" w:type="dxa"/>
            <w:vAlign w:val="bottom"/>
          </w:tcPr>
          <w:p>
            <w:pPr>
              <w:spacing w:after="0"/>
              <w:rPr>
                <w:sz w:val="21"/>
                <w:szCs w:val="21"/>
                <w:color w:val="auto"/>
              </w:rPr>
            </w:pPr>
          </w:p>
        </w:tc>
      </w:tr>
      <w:tr>
        <w:trPr>
          <w:trHeight w:val="274"/>
        </w:trPr>
        <w:tc>
          <w:tcPr>
            <w:tcW w:w="2600" w:type="dxa"/>
            <w:vAlign w:val="bottom"/>
            <w:tcBorders>
              <w:left w:val="single" w:sz="8" w:color="auto"/>
              <w:right w:val="single" w:sz="8" w:color="auto"/>
            </w:tcBorders>
          </w:tcPr>
          <w:p>
            <w:pPr>
              <w:spacing w:after="0"/>
              <w:rPr>
                <w:sz w:val="23"/>
                <w:szCs w:val="23"/>
                <w:color w:val="auto"/>
              </w:rPr>
            </w:pPr>
          </w:p>
        </w:tc>
        <w:tc>
          <w:tcPr>
            <w:tcW w:w="8560" w:type="dxa"/>
            <w:vAlign w:val="bottom"/>
            <w:tcBorders>
              <w:right w:val="single" w:sz="8" w:color="auto"/>
            </w:tcBorders>
            <w:gridSpan w:val="12"/>
          </w:tcPr>
          <w:p>
            <w:pPr>
              <w:ind w:left="20"/>
              <w:spacing w:after="0"/>
              <w:rPr>
                <w:sz w:val="20"/>
                <w:szCs w:val="20"/>
                <w:color w:val="auto"/>
              </w:rPr>
            </w:pPr>
            <w:r>
              <w:rPr>
                <w:rFonts w:ascii="Arial" w:cs="Arial" w:eastAsia="Arial" w:hAnsi="Arial"/>
                <w:sz w:val="22"/>
                <w:szCs w:val="22"/>
                <w:color w:val="auto"/>
              </w:rPr>
              <w:t>companies and shall assume that they are reinvested in the Index.</w:t>
            </w:r>
          </w:p>
        </w:tc>
        <w:tc>
          <w:tcPr>
            <w:tcW w:w="80" w:type="dxa"/>
            <w:vAlign w:val="bottom"/>
          </w:tcPr>
          <w:p>
            <w:pPr>
              <w:spacing w:after="0"/>
              <w:rPr>
                <w:sz w:val="23"/>
                <w:szCs w:val="23"/>
                <w:color w:val="auto"/>
              </w:rPr>
            </w:pPr>
          </w:p>
        </w:tc>
      </w:tr>
      <w:tr>
        <w:trPr>
          <w:trHeight w:val="435"/>
        </w:trPr>
        <w:tc>
          <w:tcPr>
            <w:tcW w:w="2600" w:type="dxa"/>
            <w:vAlign w:val="bottom"/>
            <w:tcBorders>
              <w:left w:val="single" w:sz="8" w:color="auto"/>
              <w:right w:val="single" w:sz="8" w:color="auto"/>
            </w:tcBorders>
          </w:tcPr>
          <w:p>
            <w:pPr>
              <w:spacing w:after="0"/>
              <w:rPr>
                <w:sz w:val="24"/>
                <w:szCs w:val="24"/>
                <w:color w:val="auto"/>
              </w:rPr>
            </w:pPr>
          </w:p>
        </w:tc>
        <w:tc>
          <w:tcPr>
            <w:tcW w:w="8560" w:type="dxa"/>
            <w:vAlign w:val="bottom"/>
            <w:tcBorders>
              <w:right w:val="single" w:sz="8" w:color="auto"/>
            </w:tcBorders>
            <w:gridSpan w:val="12"/>
          </w:tcPr>
          <w:p>
            <w:pPr>
              <w:ind w:left="20"/>
              <w:spacing w:after="0"/>
              <w:rPr>
                <w:sz w:val="20"/>
                <w:szCs w:val="20"/>
                <w:color w:val="auto"/>
              </w:rPr>
            </w:pPr>
            <w:r>
              <w:rPr>
                <w:rFonts w:ascii="Arial" w:cs="Arial" w:eastAsia="Arial" w:hAnsi="Arial"/>
                <w:sz w:val="22"/>
                <w:szCs w:val="22"/>
                <w:color w:val="auto"/>
                <w:w w:val="91"/>
              </w:rPr>
              <w:t>“Ending Price” shall mean the average of the closing prices of the Index or of common shares of</w:t>
            </w:r>
          </w:p>
        </w:tc>
        <w:tc>
          <w:tcPr>
            <w:tcW w:w="80" w:type="dxa"/>
            <w:vAlign w:val="bottom"/>
          </w:tcPr>
          <w:p>
            <w:pPr>
              <w:spacing w:after="0"/>
              <w:rPr>
                <w:sz w:val="24"/>
                <w:szCs w:val="24"/>
                <w:color w:val="auto"/>
              </w:rPr>
            </w:pPr>
          </w:p>
        </w:tc>
      </w:tr>
      <w:tr>
        <w:trPr>
          <w:trHeight w:val="20"/>
        </w:trPr>
        <w:tc>
          <w:tcPr>
            <w:tcW w:w="260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7320" w:type="dxa"/>
            <w:vAlign w:val="bottom"/>
            <w:tcBorders>
              <w:right w:val="single" w:sz="8" w:color="auto"/>
            </w:tcBorders>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4"/>
        </w:trPr>
        <w:tc>
          <w:tcPr>
            <w:tcW w:w="2600" w:type="dxa"/>
            <w:vAlign w:val="bottom"/>
            <w:tcBorders>
              <w:left w:val="single" w:sz="8" w:color="auto"/>
              <w:bottom w:val="single" w:sz="8" w:color="auto"/>
              <w:right w:val="single" w:sz="8" w:color="auto"/>
            </w:tcBorders>
          </w:tcPr>
          <w:p>
            <w:pPr>
              <w:spacing w:after="0"/>
              <w:rPr>
                <w:sz w:val="24"/>
                <w:szCs w:val="24"/>
                <w:color w:val="auto"/>
              </w:rPr>
            </w:pPr>
          </w:p>
        </w:tc>
        <w:tc>
          <w:tcPr>
            <w:tcW w:w="8560" w:type="dxa"/>
            <w:vAlign w:val="bottom"/>
            <w:tcBorders>
              <w:bottom w:val="single" w:sz="8" w:color="auto"/>
              <w:right w:val="single" w:sz="8" w:color="auto"/>
            </w:tcBorders>
            <w:gridSpan w:val="12"/>
          </w:tcPr>
          <w:p>
            <w:pPr>
              <w:ind w:left="20"/>
              <w:spacing w:after="0"/>
              <w:rPr>
                <w:sz w:val="20"/>
                <w:szCs w:val="20"/>
                <w:color w:val="auto"/>
              </w:rPr>
            </w:pPr>
            <w:r>
              <w:rPr>
                <w:rFonts w:ascii="Arial" w:cs="Arial" w:eastAsia="Arial" w:hAnsi="Arial"/>
                <w:sz w:val="22"/>
                <w:szCs w:val="22"/>
                <w:color w:val="auto"/>
              </w:rPr>
              <w:t>the Company, as applicable, during the</w:t>
            </w:r>
          </w:p>
        </w:tc>
        <w:tc>
          <w:tcPr>
            <w:tcW w:w="80" w:type="dxa"/>
            <w:vAlign w:val="bottom"/>
          </w:tcPr>
          <w:p>
            <w:pPr>
              <w:spacing w:after="0"/>
              <w:rPr>
                <w:sz w:val="24"/>
                <w:szCs w:val="24"/>
                <w:color w:val="auto"/>
              </w:rPr>
            </w:pPr>
          </w:p>
        </w:tc>
      </w:tr>
    </w:tbl>
    <w:p>
      <w:pPr>
        <w:spacing w:after="0" w:line="149" w:lineRule="exact"/>
        <w:rPr>
          <w:sz w:val="20"/>
          <w:szCs w:val="20"/>
          <w:color w:val="auto"/>
        </w:rPr>
      </w:pPr>
    </w:p>
    <w:p>
      <w:pPr>
        <w:ind w:left="120" w:hanging="112"/>
        <w:spacing w:after="0"/>
        <w:tabs>
          <w:tab w:leader="none" w:pos="120" w:val="left"/>
        </w:tabs>
        <w:numPr>
          <w:ilvl w:val="0"/>
          <w:numId w:val="61"/>
        </w:numPr>
        <w:rPr>
          <w:rFonts w:ascii="Arial" w:cs="Arial" w:eastAsia="Arial" w:hAnsi="Arial"/>
          <w:sz w:val="29"/>
          <w:szCs w:val="29"/>
          <w:color w:val="auto"/>
          <w:vertAlign w:val="superscript"/>
        </w:rPr>
      </w:pPr>
      <w:r>
        <w:rPr>
          <w:rFonts w:ascii="Arial" w:cs="Arial" w:eastAsia="Arial" w:hAnsi="Arial"/>
          <w:sz w:val="22"/>
          <w:szCs w:val="22"/>
          <w:color w:val="auto"/>
        </w:rPr>
        <w:t>Number to correspond to grant date value of $2,500,000.</w:t>
      </w:r>
    </w:p>
    <w:p>
      <w:pPr>
        <w:sectPr>
          <w:pgSz w:w="11900" w:h="16838" w:orient="portrait"/>
          <w:cols w:equalWidth="0" w:num="1">
            <w:col w:w="11240"/>
          </w:cols>
          <w:pgMar w:left="320" w:top="132" w:right="339" w:bottom="1440" w:gutter="0" w:footer="0" w:header="0"/>
        </w:sectPr>
      </w:pPr>
    </w:p>
    <w:bookmarkStart w:id="78" w:name="page79"/>
    <w:bookmarkEnd w:id="78"/>
    <w:p>
      <w:pPr>
        <w:ind w:left="1500"/>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071995" cy="23660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71995" cy="2366010"/>
                    </a:xfrm>
                    <a:prstGeom prst="rect">
                      <a:avLst/>
                    </a:prstGeom>
                    <a:noFill/>
                  </pic:spPr>
                </pic:pic>
              </a:graphicData>
            </a:graphic>
          </wp:anchor>
        </w:drawing>
        <w:t>twenty (20) consecutive trading days ending on the last trading day of the Performance Period. In determining Ending Price for the Company or the Index, the Committee may make such adjustments as it deems appropriate to reflect stock splits, spin-offs, and similar transactions that occurred during the Performance Period.</w:t>
      </w:r>
    </w:p>
    <w:p>
      <w:pPr>
        <w:spacing w:after="0" w:line="212" w:lineRule="exact"/>
        <w:rPr>
          <w:sz w:val="20"/>
          <w:szCs w:val="20"/>
          <w:color w:val="auto"/>
        </w:rPr>
      </w:pPr>
    </w:p>
    <w:p>
      <w:pPr>
        <w:ind w:left="1500" w:right="1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TSR</w:t>
      </w:r>
      <w:r>
        <w:rPr>
          <w:rFonts w:ascii="Arial" w:cs="Arial" w:eastAsia="Arial" w:hAnsi="Arial"/>
          <w:sz w:val="22"/>
          <w:szCs w:val="22"/>
          <w:color w:val="auto"/>
        </w:rPr>
        <w:t xml:space="preserve">” shall mean the quotient of (i) the Company’s Ending Price </w:t>
      </w:r>
      <w:r>
        <w:rPr>
          <w:rFonts w:ascii="Arial" w:cs="Arial" w:eastAsia="Arial" w:hAnsi="Arial"/>
          <w:sz w:val="22"/>
          <w:szCs w:val="22"/>
          <w:i w:val="1"/>
          <w:iCs w:val="1"/>
          <w:color w:val="auto"/>
        </w:rPr>
        <w:t>minus</w:t>
      </w:r>
      <w:r>
        <w:rPr>
          <w:rFonts w:ascii="Arial" w:cs="Arial" w:eastAsia="Arial" w:hAnsi="Arial"/>
          <w:sz w:val="22"/>
          <w:szCs w:val="22"/>
          <w:color w:val="auto"/>
        </w:rPr>
        <w:t xml:space="preserve"> the Company’s Beginning Price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Company’s Dividends Paid,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(ii) the Company’s Beginning Price.</w:t>
      </w:r>
    </w:p>
    <w:p>
      <w:pPr>
        <w:spacing w:after="0" w:line="213" w:lineRule="exact"/>
        <w:rPr>
          <w:sz w:val="20"/>
          <w:szCs w:val="20"/>
          <w:color w:val="auto"/>
        </w:rPr>
      </w:pPr>
    </w:p>
    <w:p>
      <w:pPr>
        <w:ind w:left="1500" w:right="2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Comparator Group TSR</w:t>
      </w:r>
      <w:r>
        <w:rPr>
          <w:rFonts w:ascii="Arial" w:cs="Arial" w:eastAsia="Arial" w:hAnsi="Arial"/>
          <w:sz w:val="22"/>
          <w:szCs w:val="22"/>
          <w:color w:val="auto"/>
        </w:rPr>
        <w:t xml:space="preserve">” shall mean the quotient of (i) the Index’s Ending Price </w:t>
      </w:r>
      <w:r>
        <w:rPr>
          <w:rFonts w:ascii="Arial" w:cs="Arial" w:eastAsia="Arial" w:hAnsi="Arial"/>
          <w:sz w:val="22"/>
          <w:szCs w:val="22"/>
          <w:i w:val="1"/>
          <w:iCs w:val="1"/>
          <w:color w:val="auto"/>
        </w:rPr>
        <w:t>minus</w:t>
      </w:r>
      <w:r>
        <w:rPr>
          <w:rFonts w:ascii="Arial" w:cs="Arial" w:eastAsia="Arial" w:hAnsi="Arial"/>
          <w:sz w:val="22"/>
          <w:szCs w:val="22"/>
          <w:color w:val="auto"/>
        </w:rPr>
        <w:t xml:space="preserve"> the Index’s Beginning Price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Index’s Dividends Paid,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(ii) the Index’s Beginning Price.</w:t>
      </w:r>
    </w:p>
    <w:p>
      <w:pPr>
        <w:spacing w:after="0" w:line="213" w:lineRule="exact"/>
        <w:rPr>
          <w:sz w:val="20"/>
          <w:szCs w:val="20"/>
          <w:color w:val="auto"/>
        </w:rPr>
      </w:pPr>
    </w:p>
    <w:p>
      <w:pPr>
        <w:ind w:left="1500" w:right="240"/>
        <w:spacing w:after="0" w:line="250" w:lineRule="auto"/>
        <w:rPr>
          <w:sz w:val="20"/>
          <w:szCs w:val="20"/>
          <w:color w:val="auto"/>
        </w:rPr>
      </w:pPr>
      <w:r>
        <w:rPr>
          <w:rFonts w:ascii="Arial" w:cs="Arial" w:eastAsia="Arial" w:hAnsi="Arial"/>
          <w:sz w:val="22"/>
          <w:szCs w:val="22"/>
          <w:color w:val="auto"/>
        </w:rPr>
        <w:t>The TSR Performance Goal shall be subject to adjustment by the Committee in the event of an event described in Section 4(b) of the Plan.</w:t>
      </w:r>
    </w:p>
    <w:p>
      <w:pPr>
        <w:sectPr>
          <w:pgSz w:w="11900" w:h="16838" w:orient="portrait"/>
          <w:cols w:equalWidth="0" w:num="1">
            <w:col w:w="9920"/>
          </w:cols>
          <w:pgMar w:left="1440" w:top="766" w:right="53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22"/>
          <w:szCs w:val="22"/>
          <w:u w:val="single" w:color="auto"/>
          <w:color w:val="auto"/>
        </w:rPr>
        <w:t>AMENDMENT TO EMPLOYMENT AGREEMENT</w:t>
      </w:r>
    </w:p>
    <w:p>
      <w:pPr>
        <w:spacing w:after="0" w:line="220"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This Amendment (the “</w:t>
      </w:r>
      <w:r>
        <w:rPr>
          <w:rFonts w:ascii="Arial" w:cs="Arial" w:eastAsia="Arial" w:hAnsi="Arial"/>
          <w:sz w:val="22"/>
          <w:szCs w:val="22"/>
          <w:u w:val="single" w:color="auto"/>
          <w:color w:val="auto"/>
        </w:rPr>
        <w:t>Amendment</w:t>
      </w:r>
      <w:r>
        <w:rPr>
          <w:rFonts w:ascii="Arial" w:cs="Arial" w:eastAsia="Arial" w:hAnsi="Arial"/>
          <w:sz w:val="22"/>
          <w:szCs w:val="22"/>
          <w:color w:val="auto"/>
        </w:rPr>
        <w:t>”) to the Employment Agreement (the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effective February 3, 2020, between XPO Logistics, Inc. (the “</w:t>
      </w:r>
      <w:r>
        <w:rPr>
          <w:rFonts w:ascii="Arial" w:cs="Arial" w:eastAsia="Arial" w:hAnsi="Arial"/>
          <w:sz w:val="22"/>
          <w:szCs w:val="22"/>
          <w:u w:val="single" w:color="auto"/>
          <w:color w:val="auto"/>
        </w:rPr>
        <w:t>Company</w:t>
      </w:r>
      <w:r>
        <w:rPr>
          <w:rFonts w:ascii="Arial" w:cs="Arial" w:eastAsia="Arial" w:hAnsi="Arial"/>
          <w:sz w:val="22"/>
          <w:szCs w:val="22"/>
          <w:color w:val="auto"/>
        </w:rPr>
        <w:t>”) and Kurt Rogers (the “</w:t>
      </w:r>
      <w:r>
        <w:rPr>
          <w:rFonts w:ascii="Arial" w:cs="Arial" w:eastAsia="Arial" w:hAnsi="Arial"/>
          <w:sz w:val="22"/>
          <w:szCs w:val="22"/>
          <w:u w:val="single" w:color="auto"/>
          <w:color w:val="auto"/>
        </w:rPr>
        <w:t>Executive</w:t>
      </w:r>
      <w:r>
        <w:rPr>
          <w:rFonts w:ascii="Arial" w:cs="Arial" w:eastAsia="Arial" w:hAnsi="Arial"/>
          <w:sz w:val="22"/>
          <w:szCs w:val="22"/>
          <w:color w:val="auto"/>
        </w:rPr>
        <w:t>”), is made and entered into as of April 7, 2020, by and between the Company and the Executive.</w:t>
      </w:r>
    </w:p>
    <w:p>
      <w:pPr>
        <w:spacing w:after="0" w:line="185" w:lineRule="exact"/>
        <w:rPr>
          <w:sz w:val="20"/>
          <w:szCs w:val="20"/>
          <w:color w:val="auto"/>
        </w:rPr>
      </w:pPr>
    </w:p>
    <w:p>
      <w:pPr>
        <w:ind w:right="680" w:firstLine="656"/>
        <w:spacing w:after="0" w:line="276" w:lineRule="auto"/>
        <w:tabs>
          <w:tab w:leader="none" w:pos="1044"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Section 6(c)(ii) Employment Agreement</w:t>
      </w:r>
      <w:r>
        <w:rPr>
          <w:rFonts w:ascii="Arial" w:cs="Arial" w:eastAsia="Arial" w:hAnsi="Arial"/>
          <w:sz w:val="22"/>
          <w:szCs w:val="22"/>
          <w:color w:val="auto"/>
        </w:rPr>
        <w:t>. Each of the two references to “six months” in Section 6(c)(ii) of the Employment Agreement are hereby deleted and replaced with references to “nine months”.</w:t>
      </w:r>
    </w:p>
    <w:p>
      <w:pPr>
        <w:spacing w:after="0" w:line="160" w:lineRule="exact"/>
        <w:rPr>
          <w:rFonts w:ascii="Arial" w:cs="Arial" w:eastAsia="Arial" w:hAnsi="Arial"/>
          <w:sz w:val="22"/>
          <w:szCs w:val="22"/>
          <w:color w:val="auto"/>
        </w:rPr>
      </w:pPr>
    </w:p>
    <w:p>
      <w:pPr>
        <w:ind w:right="200" w:firstLine="656"/>
        <w:spacing w:after="0" w:line="276" w:lineRule="auto"/>
        <w:tabs>
          <w:tab w:leader="none" w:pos="1008" w:val="left"/>
        </w:tabs>
        <w:numPr>
          <w:ilvl w:val="0"/>
          <w:numId w:val="62"/>
        </w:numPr>
        <w:rPr>
          <w:rFonts w:ascii="Arial" w:cs="Arial" w:eastAsia="Arial" w:hAnsi="Arial"/>
          <w:sz w:val="18"/>
          <w:szCs w:val="18"/>
          <w:color w:val="auto"/>
        </w:rPr>
      </w:pPr>
      <w:r>
        <w:rPr>
          <w:rFonts w:ascii="Arial" w:cs="Arial" w:eastAsia="Arial" w:hAnsi="Arial"/>
          <w:sz w:val="22"/>
          <w:szCs w:val="22"/>
          <w:color w:val="auto"/>
        </w:rPr>
        <w:t>Section 7 of Employment Agreement. The reference to “three years” in each of Section 7(a) and Section 7(b) of the Employment Agreement is hereby deleted and replaced with a reference to “two years”.</w:t>
      </w:r>
    </w:p>
    <w:p>
      <w:pPr>
        <w:spacing w:after="0" w:line="160" w:lineRule="exact"/>
        <w:rPr>
          <w:rFonts w:ascii="Arial" w:cs="Arial" w:eastAsia="Arial" w:hAnsi="Arial"/>
          <w:sz w:val="18"/>
          <w:szCs w:val="18"/>
          <w:color w:val="auto"/>
        </w:rPr>
      </w:pPr>
    </w:p>
    <w:p>
      <w:pPr>
        <w:ind w:right="100" w:firstLine="656"/>
        <w:spacing w:after="0" w:line="276" w:lineRule="auto"/>
        <w:tabs>
          <w:tab w:leader="none" w:pos="1008" w:val="left"/>
        </w:tabs>
        <w:numPr>
          <w:ilvl w:val="0"/>
          <w:numId w:val="62"/>
        </w:numPr>
        <w:rPr>
          <w:rFonts w:ascii="Arial" w:cs="Arial" w:eastAsia="Arial" w:hAnsi="Arial"/>
          <w:sz w:val="18"/>
          <w:szCs w:val="18"/>
          <w:color w:val="auto"/>
        </w:rPr>
      </w:pPr>
      <w:r>
        <w:rPr>
          <w:rFonts w:ascii="Arial" w:cs="Arial" w:eastAsia="Arial" w:hAnsi="Arial"/>
          <w:sz w:val="22"/>
          <w:szCs w:val="22"/>
          <w:u w:val="single" w:color="auto"/>
          <w:color w:val="auto"/>
        </w:rPr>
        <w:t>Section 8(f) of Employment Agreement</w:t>
      </w:r>
      <w:r>
        <w:rPr>
          <w:rFonts w:ascii="Arial" w:cs="Arial" w:eastAsia="Arial" w:hAnsi="Arial"/>
          <w:sz w:val="22"/>
          <w:szCs w:val="22"/>
          <w:color w:val="auto"/>
        </w:rPr>
        <w:t>. Section 8(f) of the Employment Agreement is hereby amended and restated in its entirety as set forth below:</w:t>
      </w:r>
    </w:p>
    <w:p>
      <w:pPr>
        <w:spacing w:after="0" w:line="161" w:lineRule="exact"/>
        <w:rPr>
          <w:sz w:val="20"/>
          <w:szCs w:val="20"/>
          <w:color w:val="auto"/>
        </w:rPr>
      </w:pPr>
    </w:p>
    <w:p>
      <w:pPr>
        <w:ind w:left="1300"/>
        <w:spacing w:after="0" w:line="283" w:lineRule="auto"/>
        <w:rPr>
          <w:sz w:val="20"/>
          <w:szCs w:val="20"/>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xml:space="preserve"> Employee hereby agrees not to defame or disparage any of the Company Entities or any of their respective officers, directors, members, partners or employees (collectively, the “</w:t>
      </w:r>
      <w:r>
        <w:rPr>
          <w:rFonts w:ascii="Arial" w:cs="Arial" w:eastAsia="Arial" w:hAnsi="Arial"/>
          <w:sz w:val="19"/>
          <w:szCs w:val="19"/>
          <w:u w:val="single" w:color="auto"/>
          <w:color w:val="auto"/>
        </w:rPr>
        <w:t>Company Parties</w:t>
      </w:r>
      <w:r>
        <w:rPr>
          <w:rFonts w:ascii="Arial" w:cs="Arial" w:eastAsia="Arial" w:hAnsi="Arial"/>
          <w:sz w:val="19"/>
          <w:szCs w:val="19"/>
          <w:color w:val="auto"/>
        </w:rPr>
        <w:t xml:space="preserve">”), and to cooperate with the Company upon reasonable request, in refuting any defamatory or disparaging remarks by any third party made in respect of any of the Company Parties. Employee shall not, directly or indirectly, make (or cause to be made) any comment or statement, oral or written, including, without limitation, in the media or to the press or to any individual or entity, that could reasonably be expected to adversely affect the reputation of any of the Company Parties or the conduct of its, his or their business. The Company will instruct its current executive officers and directors not to make any public statements regarding the circumstances of Employee’s employment with or termination from the Company and, in the event of any inquiry regarding the circumstances of Employee’s employment with the Company, the Company shall adhere to its standard policy in effect at such time and direct any such inquiry to a third-party reference provider;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herein shall prohibit any individual referenced herein from (i) disclosing truthful information if legally required (whether by oral questions, interrogatories, requests for information or documents, subpoena, civil investigative demand or similar process) or</w:t>
      </w:r>
    </w:p>
    <w:p>
      <w:pPr>
        <w:spacing w:after="0" w:line="3" w:lineRule="exact"/>
        <w:rPr>
          <w:sz w:val="20"/>
          <w:szCs w:val="20"/>
          <w:color w:val="auto"/>
        </w:rPr>
      </w:pPr>
    </w:p>
    <w:p>
      <w:pPr>
        <w:ind w:left="1300" w:right="420" w:firstLine="4"/>
        <w:spacing w:after="0" w:line="246" w:lineRule="auto"/>
        <w:tabs>
          <w:tab w:leader="none" w:pos="1618" w:val="left"/>
        </w:tabs>
        <w:numPr>
          <w:ilvl w:val="1"/>
          <w:numId w:val="63"/>
        </w:numPr>
        <w:rPr>
          <w:rFonts w:ascii="Arial" w:cs="Arial" w:eastAsia="Arial" w:hAnsi="Arial"/>
          <w:sz w:val="22"/>
          <w:szCs w:val="22"/>
          <w:color w:val="auto"/>
        </w:rPr>
      </w:pPr>
      <w:r>
        <w:rPr>
          <w:rFonts w:ascii="Arial" w:cs="Arial" w:eastAsia="Arial" w:hAnsi="Arial"/>
          <w:sz w:val="22"/>
          <w:szCs w:val="22"/>
          <w:color w:val="auto"/>
        </w:rPr>
        <w:t>exercising any legally protected whistleblower rights (including pursuant to Rule 21F under the Securities Exchange Act of 1934).</w:t>
      </w:r>
    </w:p>
    <w:p>
      <w:pPr>
        <w:spacing w:after="0" w:line="192" w:lineRule="exact"/>
        <w:rPr>
          <w:rFonts w:ascii="Arial" w:cs="Arial" w:eastAsia="Arial" w:hAnsi="Arial"/>
          <w:sz w:val="22"/>
          <w:szCs w:val="22"/>
          <w:color w:val="auto"/>
        </w:rPr>
      </w:pPr>
    </w:p>
    <w:p>
      <w:pPr>
        <w:ind w:right="880" w:firstLine="656"/>
        <w:spacing w:after="0" w:line="263" w:lineRule="auto"/>
        <w:tabs>
          <w:tab w:leader="none" w:pos="108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Section 3(b)(iii) of Exhibit B to Employment Agreement</w:t>
      </w:r>
      <w:r>
        <w:rPr>
          <w:rFonts w:ascii="Arial" w:cs="Arial" w:eastAsia="Arial" w:hAnsi="Arial"/>
          <w:sz w:val="22"/>
          <w:szCs w:val="22"/>
          <w:color w:val="auto"/>
        </w:rPr>
        <w:t xml:space="preserve">. Section 3(b)(iii)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to the Employment Agreement is hereby amended and restated in its entirety as set forth below:</w:t>
      </w:r>
    </w:p>
    <w:p>
      <w:pPr>
        <w:spacing w:after="0" w:line="175" w:lineRule="exact"/>
        <w:rPr>
          <w:sz w:val="20"/>
          <w:szCs w:val="20"/>
          <w:color w:val="auto"/>
        </w:rPr>
      </w:pPr>
    </w:p>
    <w:p>
      <w:pPr>
        <w:jc w:val="both"/>
        <w:ind w:left="1300" w:right="40"/>
        <w:spacing w:after="0" w:line="253" w:lineRule="auto"/>
        <w:rPr>
          <w:sz w:val="20"/>
          <w:szCs w:val="20"/>
          <w:color w:val="auto"/>
        </w:rPr>
      </w:pPr>
      <w:r>
        <w:rPr>
          <w:rFonts w:ascii="Arial" w:cs="Arial" w:eastAsia="Arial" w:hAnsi="Arial"/>
          <w:sz w:val="22"/>
          <w:szCs w:val="22"/>
          <w:color w:val="auto"/>
        </w:rPr>
        <w:t>if your employment terminates for any reason not described in clauses (i) or (ii), (A) then, immediately after your termination of employment and subject to your satisfaction of the release requirement described in Section 6(e) of the</w:t>
      </w:r>
    </w:p>
    <w:p>
      <w:pPr>
        <w:sectPr>
          <w:pgSz w:w="11900" w:h="16838" w:orient="portrait"/>
          <w:cols w:equalWidth="0" w:num="1">
            <w:col w:w="11200"/>
          </w:cols>
          <w:pgMar w:left="320" w:top="861" w:right="379" w:bottom="1440" w:gutter="0" w:footer="0" w:header="0"/>
        </w:sectPr>
      </w:pPr>
    </w:p>
    <w:bookmarkStart w:id="80" w:name="page81"/>
    <w:bookmarkEnd w:id="80"/>
    <w:p>
      <w:pPr>
        <w:ind w:left="644" w:right="20"/>
        <w:spacing w:after="0" w:line="287" w:lineRule="auto"/>
        <w:rPr>
          <w:sz w:val="20"/>
          <w:szCs w:val="20"/>
          <w:color w:val="auto"/>
        </w:rPr>
      </w:pPr>
      <w:r>
        <w:rPr>
          <w:rFonts w:ascii="Arial" w:cs="Arial" w:eastAsia="Arial" w:hAnsi="Arial"/>
          <w:sz w:val="19"/>
          <w:szCs w:val="19"/>
          <w:color w:val="auto"/>
        </w:rPr>
        <w:t>Employment Agreement, you shall vest in a number of RSUs, solely with respect to the RSUs scheduled and eligible to vest on the Vesting Date immediately following the date of termination, equal to the product of (x) the number of such RSUs scheduled and eligible to vest on the Vesting Date immediately following the date of termination and (y) a fraction, the numerator of which is the number of days from the Vesting Date immediately preceding the date of termination (or, if such termination is after the Grant Date but prior to the first Vesting Date, the Grant Date) through the date of termination of your employment and the denominator of which is the number of days from the Vesting Date immediately preceding the date of termination (or, if such termination is after the Grant Date but prior to the first Vesting Date, the Grant Date) through the Vesting Date immediately following the date of termination; provided, however, if your employment terminates for any reason not described in clauses (i) or (ii) between the Grant Date and the first Vesting Date you shall instead vest, immediately after your termination of employment and subject to your satisfaction of the release requirement described in Section 6(e) of the Employment Agreement, in 100% of the RSUs scheduled and eligible to vest on the first Vesting Date, and (B) the remainder of the RSUs shall be forfeited.</w:t>
      </w:r>
    </w:p>
    <w:p>
      <w:pPr>
        <w:spacing w:after="0" w:line="200" w:lineRule="exact"/>
        <w:rPr>
          <w:sz w:val="20"/>
          <w:szCs w:val="20"/>
          <w:color w:val="auto"/>
        </w:rPr>
      </w:pPr>
    </w:p>
    <w:p>
      <w:pPr>
        <w:spacing w:after="0" w:line="215" w:lineRule="exact"/>
        <w:rPr>
          <w:sz w:val="20"/>
          <w:szCs w:val="20"/>
          <w:color w:val="auto"/>
        </w:rPr>
      </w:pPr>
    </w:p>
    <w:p>
      <w:pPr>
        <w:ind w:left="644"/>
        <w:spacing w:after="0"/>
        <w:rPr>
          <w:sz w:val="20"/>
          <w:szCs w:val="20"/>
          <w:color w:val="auto"/>
        </w:rPr>
      </w:pPr>
      <w:r>
        <w:rPr>
          <w:rFonts w:ascii="Arial" w:cs="Arial" w:eastAsia="Arial" w:hAnsi="Arial"/>
          <w:sz w:val="19"/>
          <w:szCs w:val="19"/>
          <w:color w:val="auto"/>
        </w:rPr>
        <w:t>By way of illustration, (x) if your employment is terminated by the Company without Cause on the date that is six</w:t>
      </w:r>
    </w:p>
    <w:p>
      <w:pPr>
        <w:spacing w:after="0" w:line="56" w:lineRule="exact"/>
        <w:rPr>
          <w:sz w:val="20"/>
          <w:szCs w:val="20"/>
          <w:color w:val="auto"/>
        </w:rPr>
      </w:pPr>
    </w:p>
    <w:p>
      <w:pPr>
        <w:jc w:val="both"/>
        <w:ind w:left="644" w:right="260" w:firstLine="4"/>
        <w:spacing w:after="0" w:line="295" w:lineRule="auto"/>
        <w:tabs>
          <w:tab w:leader="none" w:pos="950" w:val="left"/>
        </w:tabs>
        <w:numPr>
          <w:ilvl w:val="1"/>
          <w:numId w:val="65"/>
        </w:numPr>
        <w:rPr>
          <w:rFonts w:ascii="Arial" w:cs="Arial" w:eastAsia="Arial" w:hAnsi="Arial"/>
          <w:sz w:val="19"/>
          <w:szCs w:val="19"/>
          <w:color w:val="auto"/>
        </w:rPr>
      </w:pPr>
      <w:r>
        <w:rPr>
          <w:rFonts w:ascii="Arial" w:cs="Arial" w:eastAsia="Arial" w:hAnsi="Arial"/>
          <w:sz w:val="19"/>
          <w:szCs w:val="19"/>
          <w:color w:val="auto"/>
        </w:rPr>
        <w:t>months after the Grant Date, you shall vest in 100% of the RSUs that were scheduled and eligible to vest on the first Vesting Date or (y) if your employment is terminated by the Company without Cause on the date that is six (6) months after the first Vesting Date, you shall vest in one-half (1/2) of the RSUs that were scheduled and eligible to vest on the second Vesting Date and the remainder of the RSUs shall be forfeited.</w:t>
      </w:r>
    </w:p>
    <w:p>
      <w:pPr>
        <w:spacing w:after="0" w:line="149" w:lineRule="exact"/>
        <w:rPr>
          <w:rFonts w:ascii="Arial" w:cs="Arial" w:eastAsia="Arial" w:hAnsi="Arial"/>
          <w:sz w:val="19"/>
          <w:szCs w:val="19"/>
          <w:color w:val="auto"/>
        </w:rPr>
      </w:pPr>
    </w:p>
    <w:p>
      <w:pPr>
        <w:ind w:left="-656" w:right="500" w:firstLine="656"/>
        <w:spacing w:after="0" w:line="276" w:lineRule="auto"/>
        <w:tabs>
          <w:tab w:leader="none" w:pos="388"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Section 19 of Exhibit B to Employment Agreement</w:t>
      </w:r>
      <w:r>
        <w:rPr>
          <w:rFonts w:ascii="Arial" w:cs="Arial" w:eastAsia="Arial" w:hAnsi="Arial"/>
          <w:sz w:val="22"/>
          <w:szCs w:val="22"/>
          <w:color w:val="auto"/>
        </w:rPr>
        <w:t xml:space="preserve">. The following language will be added as new Section 19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to the Employment Agreement:</w:t>
      </w:r>
    </w:p>
    <w:p>
      <w:pPr>
        <w:spacing w:after="0" w:line="161" w:lineRule="exact"/>
        <w:rPr>
          <w:sz w:val="20"/>
          <w:szCs w:val="20"/>
          <w:color w:val="auto"/>
        </w:rPr>
      </w:pPr>
    </w:p>
    <w:p>
      <w:pPr>
        <w:ind w:left="644"/>
        <w:spacing w:after="0" w:line="259" w:lineRule="auto"/>
        <w:rPr>
          <w:sz w:val="20"/>
          <w:szCs w:val="20"/>
          <w:color w:val="auto"/>
        </w:rPr>
      </w:pPr>
      <w:r>
        <w:rPr>
          <w:rFonts w:ascii="Arial" w:cs="Arial" w:eastAsia="Arial" w:hAnsi="Arial"/>
          <w:sz w:val="21"/>
          <w:szCs w:val="21"/>
          <w:u w:val="single" w:color="auto"/>
          <w:color w:val="auto"/>
        </w:rPr>
        <w:t>Lock-Up</w:t>
      </w:r>
      <w:r>
        <w:rPr>
          <w:rFonts w:ascii="Arial" w:cs="Arial" w:eastAsia="Arial" w:hAnsi="Arial"/>
          <w:sz w:val="21"/>
          <w:szCs w:val="21"/>
          <w:color w:val="auto"/>
        </w:rPr>
        <w:t>. Notwithstanding anything to the contrary in your Employment Agreement, the Plan or any Award Agreement under the Plan, any Shares issued to you upon settlement of the RSUs granted under this Award Agreement shall be subject to a lock-up on sales, offers, pledges, contracts to sell, grants of any option, right or warrant to purchase, or other transfers or dispositions, whether directly or indirectly, from the date hereof until the date that is two years after the Settlement Date (or, if earlier, upon your death or a Change of Control) and all laws, rules and regulations applicable to you; provided, however, that such lock-up may be waived in the sole discretion of the Company’s Chief Executive Officer or Chief Human Resources Officer; and provided, further, that the provisions of this Section 19 shall not apply to Shares withheld to satisfy the applicable tax withholding in connection with the settlement of the RSUs.</w:t>
      </w:r>
    </w:p>
    <w:p>
      <w:pPr>
        <w:sectPr>
          <w:pgSz w:w="11900" w:h="16838" w:orient="portrait"/>
          <w:cols w:equalWidth="0" w:num="1">
            <w:col w:w="10584"/>
          </w:cols>
          <w:pgMar w:left="976" w:top="604" w:right="339" w:bottom="1440" w:gutter="0" w:footer="0" w:header="0"/>
        </w:sectPr>
      </w:pPr>
    </w:p>
    <w:bookmarkStart w:id="81" w:name="page82"/>
    <w:bookmarkEnd w:id="81"/>
    <w:p>
      <w:pPr>
        <w:ind w:left="-120" w:firstLine="656"/>
        <w:spacing w:after="0" w:line="276" w:lineRule="auto"/>
        <w:tabs>
          <w:tab w:leader="none" w:pos="924" w:val="left"/>
        </w:tabs>
        <w:numPr>
          <w:ilvl w:val="0"/>
          <w:numId w:val="67"/>
        </w:numPr>
        <w:rPr>
          <w:rFonts w:ascii="Arial" w:cs="Arial" w:eastAsia="Arial" w:hAnsi="Arial"/>
          <w:sz w:val="22"/>
          <w:szCs w:val="22"/>
          <w:color w:val="auto"/>
        </w:rPr>
      </w:pPr>
      <w:r>
        <w:rPr>
          <w:rFonts w:ascii="Arial" w:cs="Arial" w:eastAsia="Arial" w:hAnsi="Arial"/>
          <w:sz w:val="22"/>
          <w:szCs w:val="22"/>
          <w:color w:val="auto"/>
        </w:rPr>
        <w:t>Except as expressly amended by this Amendment, all terms and conditions of the Employment Agreement remain in full force and effect and are unmodified hereby.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ectPr>
          <w:pgSz w:w="11900" w:h="16838" w:orient="portrait"/>
          <w:cols w:equalWidth="0" w:num="1">
            <w:col w:w="11020"/>
          </w:cols>
          <w:pgMar w:left="440" w:top="604" w:right="439" w:bottom="1440" w:gutter="0" w:footer="0" w:header="0"/>
        </w:sectPr>
      </w:pPr>
    </w:p>
    <w:bookmarkStart w:id="82" w:name="page83"/>
    <w:bookmarkEnd w:id="82"/>
    <w:p>
      <w:pPr>
        <w:ind w:firstLine="648"/>
        <w:spacing w:after="0" w:line="263" w:lineRule="auto"/>
        <w:rPr>
          <w:sz w:val="20"/>
          <w:szCs w:val="20"/>
          <w:color w:val="auto"/>
        </w:rPr>
      </w:pPr>
      <w:r>
        <w:rPr>
          <w:rFonts w:ascii="Arial" w:cs="Arial" w:eastAsia="Arial" w:hAnsi="Arial"/>
          <w:sz w:val="22"/>
          <w:szCs w:val="22"/>
          <w:color w:val="auto"/>
        </w:rPr>
        <w:t>IN WITNESS WHEREOF, the Executive and the Company have executed this Amendment as of the date first above written.</w:t>
      </w:r>
    </w:p>
    <w:p>
      <w:pPr>
        <w:spacing w:after="0" w:line="17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3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/s/ Kurt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-17780</wp:posOffset>
            </wp:positionV>
            <wp:extent cx="1661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61160" cy="8255"/>
                    </a:xfrm>
                    <a:prstGeom prst="rect">
                      <a:avLst/>
                    </a:prstGeom>
                    <a:noFill/>
                  </pic:spPr>
                </pic:pic>
              </a:graphicData>
            </a:graphic>
          </wp:anchor>
        </w:drawing>
      </w:r>
    </w:p>
    <w:p>
      <w:pPr>
        <w:spacing w:after="0" w:line="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Kurt Rogers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XPO LOGISTICS, INC.</w:t>
      </w:r>
    </w:p>
    <w:p>
      <w:pPr>
        <w:spacing w:after="0" w:line="200" w:lineRule="exact"/>
        <w:rPr>
          <w:sz w:val="20"/>
          <w:szCs w:val="20"/>
          <w:color w:val="auto"/>
        </w:rPr>
      </w:pPr>
    </w:p>
    <w:p>
      <w:pPr>
        <w:spacing w:after="0" w:line="3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Meghan 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-17780</wp:posOffset>
            </wp:positionV>
            <wp:extent cx="1786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6890" cy="8890"/>
                    </a:xfrm>
                    <a:prstGeom prst="rect">
                      <a:avLst/>
                    </a:prstGeom>
                    <a:noFill/>
                  </pic:spPr>
                </pic:pic>
              </a:graphicData>
            </a:graphic>
          </wp:anchor>
        </w:drawing>
      </w:r>
    </w:p>
    <w:p>
      <w:pPr>
        <w:spacing w:after="0" w:line="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Meghan Henson</w:t>
      </w:r>
    </w:p>
    <w:p>
      <w:pPr>
        <w:spacing w:after="0" w:line="4" w:lineRule="exact"/>
        <w:rPr>
          <w:sz w:val="20"/>
          <w:szCs w:val="20"/>
          <w:color w:val="auto"/>
        </w:rPr>
      </w:pPr>
    </w:p>
    <w:p>
      <w:pPr>
        <w:ind w:left="3360"/>
        <w:spacing w:after="0"/>
        <w:tabs>
          <w:tab w:leader="none" w:pos="4060" w:val="left"/>
        </w:tabs>
        <w:rPr>
          <w:sz w:val="20"/>
          <w:szCs w:val="20"/>
          <w:color w:val="auto"/>
        </w:rPr>
      </w:pPr>
      <w:r>
        <w:rPr>
          <w:rFonts w:ascii="Arial" w:cs="Arial" w:eastAsia="Arial" w:hAnsi="Arial"/>
          <w:sz w:val="22"/>
          <w:szCs w:val="22"/>
          <w:color w:val="auto"/>
        </w:rPr>
        <w:t>Title:</w:t>
        <w:tab/>
        <w:t>Chief Human Resources Officer</w:t>
      </w:r>
    </w:p>
    <w:p>
      <w:pPr>
        <w:sectPr>
          <w:pgSz w:w="11900" w:h="16838" w:orient="portrait"/>
          <w:cols w:equalWidth="0" w:num="1">
            <w:col w:w="10760"/>
          </w:cols>
          <w:pgMar w:left="320" w:top="604" w:right="81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b w:val="1"/>
          <w:bCs w:val="1"/>
          <w:u w:val="single" w:color="auto"/>
          <w:color w:val="auto"/>
        </w:rPr>
        <w:t>Exhibit 10.2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39" w:lineRule="exact"/>
        <w:rPr>
          <w:sz w:val="20"/>
          <w:szCs w:val="20"/>
          <w:color w:val="auto"/>
        </w:rPr>
      </w:pPr>
    </w:p>
    <w:p>
      <w:pPr>
        <w:ind w:right="20" w:firstLine="1296"/>
        <w:spacing w:after="0" w:line="253" w:lineRule="auto"/>
        <w:rPr>
          <w:sz w:val="20"/>
          <w:szCs w:val="20"/>
          <w:color w:val="auto"/>
        </w:rPr>
      </w:pPr>
      <w:r>
        <w:rPr>
          <w:rFonts w:ascii="Arial" w:cs="Arial" w:eastAsia="Arial" w:hAnsi="Arial"/>
          <w:sz w:val="22"/>
          <w:szCs w:val="22"/>
          <w:color w:val="auto"/>
        </w:rPr>
        <w:t>This Employment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effective as of the date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Start Date</w:t>
      </w:r>
      <w:r>
        <w:rPr>
          <w:rFonts w:ascii="Arial" w:cs="Arial" w:eastAsia="Arial" w:hAnsi="Arial"/>
          <w:sz w:val="22"/>
          <w:szCs w:val="22"/>
          <w:color w:val="auto"/>
        </w:rPr>
        <w:t>”), by and between XPO Logistics, Inc., a Delaware corporation (together with its successors and assigns,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the individual named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t>
      </w:r>
      <w:r>
        <w:rPr>
          <w:rFonts w:ascii="Arial" w:cs="Arial" w:eastAsia="Arial" w:hAnsi="Arial"/>
          <w:sz w:val="22"/>
          <w:szCs w:val="22"/>
          <w:u w:val="single" w:color="auto"/>
          <w:color w:val="auto"/>
        </w:rPr>
        <w:t>Employee</w:t>
      </w:r>
      <w:r>
        <w:rPr>
          <w:rFonts w:ascii="Arial" w:cs="Arial" w:eastAsia="Arial" w:hAnsi="Arial"/>
          <w:sz w:val="22"/>
          <w:szCs w:val="22"/>
          <w:color w:val="auto"/>
        </w:rPr>
        <w:t>”).</w:t>
      </w:r>
    </w:p>
    <w:p>
      <w:pPr>
        <w:spacing w:after="0" w:line="200" w:lineRule="exact"/>
        <w:rPr>
          <w:sz w:val="20"/>
          <w:szCs w:val="20"/>
          <w:color w:val="auto"/>
        </w:rPr>
      </w:pPr>
    </w:p>
    <w:p>
      <w:pPr>
        <w:spacing w:after="0" w:line="309"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WHEREAS, the Company desires to employ Employee and Employee desires to accept such employment with the Company, subject to the terms and conditions set forth herein.</w:t>
      </w:r>
    </w:p>
    <w:p>
      <w:pPr>
        <w:spacing w:after="0" w:line="175" w:lineRule="exact"/>
        <w:rPr>
          <w:sz w:val="20"/>
          <w:szCs w:val="20"/>
          <w:color w:val="auto"/>
        </w:rPr>
      </w:pPr>
    </w:p>
    <w:p>
      <w:pPr>
        <w:ind w:right="660" w:firstLine="1296"/>
        <w:spacing w:after="0" w:line="263" w:lineRule="auto"/>
        <w:rPr>
          <w:sz w:val="20"/>
          <w:szCs w:val="20"/>
          <w:color w:val="auto"/>
        </w:rPr>
      </w:pPr>
      <w:r>
        <w:rPr>
          <w:rFonts w:ascii="Arial" w:cs="Arial" w:eastAsia="Arial" w:hAnsi="Arial"/>
          <w:sz w:val="22"/>
          <w:szCs w:val="22"/>
          <w:color w:val="auto"/>
        </w:rPr>
        <w:t>NOW, THEREFORE, in consideration of the premises and mutual covenants herein and for other good and valuable consideration, Employee and the Company agree as follows:</w:t>
      </w:r>
    </w:p>
    <w:p>
      <w:pPr>
        <w:spacing w:after="0" w:line="148" w:lineRule="exact"/>
        <w:rPr>
          <w:sz w:val="20"/>
          <w:szCs w:val="20"/>
          <w:color w:val="auto"/>
        </w:rPr>
      </w:pPr>
    </w:p>
    <w:p>
      <w:pPr>
        <w:ind w:right="340" w:firstLine="1304"/>
        <w:spacing w:after="0" w:line="229" w:lineRule="auto"/>
        <w:tabs>
          <w:tab w:leader="none" w:pos="2160" w:val="left"/>
        </w:tabs>
        <w:numPr>
          <w:ilvl w:val="1"/>
          <w:numId w:val="68"/>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xml:space="preserve"> The term of Employee’s employment hereunder (the “</w:t>
      </w:r>
      <w:r>
        <w:rPr>
          <w:rFonts w:ascii="Arial" w:cs="Arial" w:eastAsia="Arial" w:hAnsi="Arial"/>
          <w:sz w:val="21"/>
          <w:szCs w:val="21"/>
          <w:u w:val="single" w:color="auto"/>
          <w:color w:val="auto"/>
        </w:rPr>
        <w:t>Term</w:t>
      </w:r>
      <w:r>
        <w:rPr>
          <w:rFonts w:ascii="Arial" w:cs="Arial" w:eastAsia="Arial" w:hAnsi="Arial"/>
          <w:sz w:val="21"/>
          <w:szCs w:val="21"/>
          <w:color w:val="auto"/>
        </w:rPr>
        <w:t>”) shall begin on the Start Date and end on the third anniversary thereof. Notwithstanding the foregoing, the Term may be earlier terminated by either party in accordance with the terms of Section 5 of this Agreement, and the Term shall automatically expire on the last day of the Term (the “</w:t>
      </w:r>
      <w:r>
        <w:rPr>
          <w:rFonts w:ascii="Arial" w:cs="Arial" w:eastAsia="Arial" w:hAnsi="Arial"/>
          <w:sz w:val="21"/>
          <w:szCs w:val="21"/>
          <w:u w:val="single" w:color="auto"/>
          <w:color w:val="auto"/>
        </w:rPr>
        <w:t>Expiration Date</w:t>
      </w:r>
      <w:r>
        <w:rPr>
          <w:rFonts w:ascii="Arial" w:cs="Arial" w:eastAsia="Arial" w:hAnsi="Arial"/>
          <w:sz w:val="21"/>
          <w:szCs w:val="21"/>
          <w:color w:val="auto"/>
        </w:rPr>
        <w:t>”) without notice required by any party to the other.</w:t>
      </w:r>
    </w:p>
    <w:p>
      <w:pPr>
        <w:spacing w:after="0" w:line="185" w:lineRule="exact"/>
        <w:rPr>
          <w:rFonts w:ascii="Arial" w:cs="Arial" w:eastAsia="Arial" w:hAnsi="Arial"/>
          <w:sz w:val="21"/>
          <w:szCs w:val="21"/>
          <w:color w:val="auto"/>
        </w:rPr>
      </w:pPr>
    </w:p>
    <w:p>
      <w:pPr>
        <w:ind w:right="60" w:firstLine="1304"/>
        <w:spacing w:after="0" w:line="285" w:lineRule="auto"/>
        <w:tabs>
          <w:tab w:leader="none" w:pos="1692"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Employment Duties.</w:t>
      </w:r>
      <w:r>
        <w:rPr>
          <w:rFonts w:ascii="Arial" w:cs="Arial" w:eastAsia="Arial" w:hAnsi="Arial"/>
          <w:sz w:val="19"/>
          <w:szCs w:val="19"/>
          <w:color w:val="auto"/>
        </w:rPr>
        <w:t xml:space="preserve"> During the Term, Employee shall serve in the position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excluding any periods of paid time-off or approved sick leave to which Employee is entitled, Employee shall devote his full working time, energy and attention to the performance of his duties and responsibilities hereunder and shall faithfully and diligently endeavor to promote the business and best interests of the Company. Employee shall perform such duties as are customarily performed by an individual in Employee’s position at a public company and as assigned from time to time by the individual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his successor, if he ceases to serve in his current position) (the “</w:t>
      </w:r>
      <w:r>
        <w:rPr>
          <w:rFonts w:ascii="Arial" w:cs="Arial" w:eastAsia="Arial" w:hAnsi="Arial"/>
          <w:sz w:val="19"/>
          <w:szCs w:val="19"/>
          <w:u w:val="single" w:color="auto"/>
          <w:color w:val="auto"/>
        </w:rPr>
        <w:t>Reporting Person</w:t>
      </w:r>
      <w:r>
        <w:rPr>
          <w:rFonts w:ascii="Arial" w:cs="Arial" w:eastAsia="Arial" w:hAnsi="Arial"/>
          <w:sz w:val="19"/>
          <w:szCs w:val="19"/>
          <w:color w:val="auto"/>
        </w:rPr>
        <w:t>”), and Employee shall report directly to the Reporting Person. During the Term, Employee may not, without the prior written consent of the Company, directly or indirectly, operate, participate in the management, operations or control of, or act as an employee, officer, consultant, partner, member, agent or representative of, any type of business or service other than as an employee and member of the Company. It shall not, however, be a violation of the foregoing provisions of this Section 2 for Employee to</w:t>
      </w:r>
    </w:p>
    <w:p>
      <w:pPr>
        <w:spacing w:after="0" w:line="1" w:lineRule="exact"/>
        <w:rPr>
          <w:rFonts w:ascii="Arial" w:cs="Arial" w:eastAsia="Arial" w:hAnsi="Arial"/>
          <w:sz w:val="19"/>
          <w:szCs w:val="19"/>
          <w:color w:val="auto"/>
        </w:rPr>
      </w:pPr>
    </w:p>
    <w:p>
      <w:pPr>
        <w:ind w:right="400" w:firstLine="8"/>
        <w:spacing w:after="0" w:line="262" w:lineRule="auto"/>
        <w:tabs>
          <w:tab w:leader="none" w:pos="258" w:val="left"/>
        </w:tabs>
        <w:numPr>
          <w:ilvl w:val="0"/>
          <w:numId w:val="69"/>
        </w:numPr>
        <w:rPr>
          <w:rFonts w:ascii="Arial" w:cs="Arial" w:eastAsia="Arial" w:hAnsi="Arial"/>
          <w:sz w:val="21"/>
          <w:szCs w:val="21"/>
          <w:color w:val="auto"/>
        </w:rPr>
      </w:pPr>
      <w:r>
        <w:rPr>
          <w:rFonts w:ascii="Arial" w:cs="Arial" w:eastAsia="Arial" w:hAnsi="Arial"/>
          <w:sz w:val="21"/>
          <w:szCs w:val="21"/>
          <w:color w:val="auto"/>
        </w:rPr>
        <w:t>serve as an officer, trustee or director or otherwise participate in non-profit, educational, social welfare, religious and civic organizations or (ii) manage his personal, financial and legal affairs, in each case so long as any such activities do not unreasonably interfere with the performance of his duties and responsibilities to the Company.</w:t>
      </w:r>
    </w:p>
    <w:p>
      <w:pPr>
        <w:spacing w:after="0" w:line="176" w:lineRule="exact"/>
        <w:rPr>
          <w:rFonts w:ascii="Arial" w:cs="Arial" w:eastAsia="Arial" w:hAnsi="Arial"/>
          <w:sz w:val="21"/>
          <w:szCs w:val="21"/>
          <w:color w:val="auto"/>
        </w:rPr>
      </w:pPr>
    </w:p>
    <w:p>
      <w:pPr>
        <w:ind w:left="1700" w:hanging="396"/>
        <w:spacing w:after="0"/>
        <w:tabs>
          <w:tab w:leader="none" w:pos="1700" w:val="left"/>
        </w:tabs>
        <w:numPr>
          <w:ilvl w:val="1"/>
          <w:numId w:val="69"/>
        </w:numPr>
        <w:rPr>
          <w:rFonts w:ascii="Arial" w:cs="Arial" w:eastAsia="Arial" w:hAnsi="Arial"/>
          <w:sz w:val="22"/>
          <w:szCs w:val="22"/>
          <w:color w:val="auto"/>
        </w:rPr>
      </w:pPr>
      <w:r>
        <w:rPr>
          <w:rFonts w:ascii="Arial" w:cs="Arial" w:eastAsia="Arial" w:hAnsi="Arial"/>
          <w:sz w:val="22"/>
          <w:szCs w:val="22"/>
          <w:u w:val="single" w:color="auto"/>
          <w:color w:val="auto"/>
        </w:rPr>
        <w:t>Compensation.</w:t>
      </w:r>
    </w:p>
    <w:p>
      <w:pPr>
        <w:spacing w:after="0" w:line="233" w:lineRule="exact"/>
        <w:rPr>
          <w:sz w:val="20"/>
          <w:szCs w:val="20"/>
          <w:color w:val="auto"/>
        </w:rPr>
      </w:pPr>
    </w:p>
    <w:p>
      <w:pPr>
        <w:ind w:right="20" w:firstLine="1304"/>
        <w:spacing w:after="0" w:line="253" w:lineRule="auto"/>
        <w:tabs>
          <w:tab w:leader="none" w:pos="1752"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xml:space="preserve"> During the Term, the Company shall pay Employee, pursuant to the Company’s normal and customary payroll procedures, but not less frequently than monthly, a base salary at the rate per annum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Base Salary</w:t>
      </w:r>
      <w:r>
        <w:rPr>
          <w:rFonts w:ascii="Arial" w:cs="Arial" w:eastAsia="Arial" w:hAnsi="Arial"/>
          <w:sz w:val="22"/>
          <w:szCs w:val="22"/>
          <w:color w:val="auto"/>
        </w:rPr>
        <w:t>”).</w:t>
      </w:r>
    </w:p>
    <w:p>
      <w:pPr>
        <w:sectPr>
          <w:pgSz w:w="11900" w:h="16838" w:orient="portrait"/>
          <w:cols w:equalWidth="0" w:num="1">
            <w:col w:w="11240"/>
          </w:cols>
          <w:pgMar w:left="320" w:top="612" w:right="339" w:bottom="1440" w:gutter="0" w:footer="0" w:header="0"/>
        </w:sectPr>
      </w:pPr>
    </w:p>
    <w:bookmarkStart w:id="84" w:name="page85"/>
    <w:bookmarkEnd w:id="84"/>
    <w:p>
      <w:pPr>
        <w:ind w:left="-20" w:firstLine="1304"/>
        <w:spacing w:after="0" w:line="288" w:lineRule="auto"/>
        <w:tabs>
          <w:tab w:leader="none" w:pos="1762"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xml:space="preserve"> As additional compensation, Employee shall have the opportunity to earn a performance-based bonus (the “</w:t>
      </w:r>
      <w:r>
        <w:rPr>
          <w:rFonts w:ascii="Arial" w:cs="Arial" w:eastAsia="Arial" w:hAnsi="Arial"/>
          <w:sz w:val="19"/>
          <w:szCs w:val="19"/>
          <w:u w:val="single" w:color="auto"/>
          <w:color w:val="auto"/>
        </w:rPr>
        <w:t>Annual Bonus</w:t>
      </w:r>
      <w:r>
        <w:rPr>
          <w:rFonts w:ascii="Arial" w:cs="Arial" w:eastAsia="Arial" w:hAnsi="Arial"/>
          <w:sz w:val="19"/>
          <w:szCs w:val="19"/>
          <w:color w:val="auto"/>
        </w:rPr>
        <w:t xml:space="preserve">”) for each year during the Term of Employee’s employment commencing in the 2020 fiscal year with a target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Target Bonus</w:t>
      </w:r>
      <w:r>
        <w:rPr>
          <w:rFonts w:ascii="Arial" w:cs="Arial" w:eastAsia="Arial" w:hAnsi="Arial"/>
          <w:sz w:val="19"/>
          <w:szCs w:val="19"/>
          <w:color w:val="auto"/>
        </w:rPr>
        <w:t>”), based upon Employee’s achievement of performance goals that will be determined in the sole discretion of the Company. Employee’s 2020 Annual Bonus will not be prorated for performance year 2020. Notwithstanding anything to the contrary contained herein and without limiting any other rights and remedies of the Company (including as may be required by law), if Employee has engaged in fraud or other willful misconduct that contributes materially to any financial restatements or material loss to the Company or any of its affiliates, the Company may require repayment by Employee of any cash bonus or Annual Bonus (net of any taxes paid by Employee on such payments) previously paid to Employee, or cancel any earned but unpaid cash bonus or Annual Bonus or adjust the future compensation of Employee in order to recover the amount by which any compensation paid to Employee exceeded the lower amount that would have been payable after giving effect to the restated financial results or the material loss. In addition, Employee’s Annual Bonus shall be subject to any other clawback or recoupment policy of the Company as may be in effect from time to time or any clawback or recoupment as may be required by applicable law.</w:t>
      </w:r>
    </w:p>
    <w:p>
      <w:pPr>
        <w:spacing w:after="0" w:line="155" w:lineRule="exact"/>
        <w:rPr>
          <w:rFonts w:ascii="Arial" w:cs="Arial" w:eastAsia="Arial" w:hAnsi="Arial"/>
          <w:sz w:val="19"/>
          <w:szCs w:val="19"/>
          <w:color w:val="auto"/>
        </w:rPr>
      </w:pPr>
    </w:p>
    <w:p>
      <w:pPr>
        <w:ind w:left="-20" w:right="100" w:firstLine="1304"/>
        <w:spacing w:after="0" w:line="259" w:lineRule="auto"/>
        <w:tabs>
          <w:tab w:leader="none" w:pos="175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xml:space="preserve"> During the Term, Employee shall be eligible to participate in the benefit plans and programs of the Company that are generally available to other members of the Company’s senior executive team, subject to the terms and conditions of such plans and programs.</w:t>
      </w:r>
    </w:p>
    <w:p>
      <w:pPr>
        <w:spacing w:after="0" w:line="180" w:lineRule="exact"/>
        <w:rPr>
          <w:rFonts w:ascii="Arial" w:cs="Arial" w:eastAsia="Arial" w:hAnsi="Arial"/>
          <w:sz w:val="22"/>
          <w:szCs w:val="22"/>
          <w:color w:val="auto"/>
        </w:rPr>
      </w:pPr>
    </w:p>
    <w:p>
      <w:pPr>
        <w:ind w:left="-20" w:right="180" w:firstLine="1304"/>
        <w:spacing w:after="0" w:line="254" w:lineRule="auto"/>
        <w:tabs>
          <w:tab w:leader="none" w:pos="1762"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Paid-Time Off.</w:t>
      </w:r>
      <w:r>
        <w:rPr>
          <w:rFonts w:ascii="Arial" w:cs="Arial" w:eastAsia="Arial" w:hAnsi="Arial"/>
          <w:sz w:val="22"/>
          <w:szCs w:val="22"/>
          <w:color w:val="auto"/>
        </w:rPr>
        <w:t xml:space="preserve"> Employee shall be entitled to 15 days paid time off, and any holidays that are generally afforded to the Company’s employees, in each case, per calendar year during the Term, prorated for the portion(s) of any partial calendar year during the Term. Employee may take paid-time off only with the consent of the Reporting Person, which consent shall not be withheld unreasonably.</w:t>
      </w:r>
    </w:p>
    <w:p>
      <w:pPr>
        <w:spacing w:after="0" w:line="184" w:lineRule="exact"/>
        <w:rPr>
          <w:rFonts w:ascii="Arial" w:cs="Arial" w:eastAsia="Arial" w:hAnsi="Arial"/>
          <w:sz w:val="22"/>
          <w:szCs w:val="22"/>
          <w:color w:val="auto"/>
        </w:rPr>
      </w:pPr>
    </w:p>
    <w:p>
      <w:pPr>
        <w:ind w:left="-20" w:right="20" w:firstLine="1304"/>
        <w:spacing w:after="0" w:line="254" w:lineRule="auto"/>
        <w:tabs>
          <w:tab w:leader="none" w:pos="175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The Company shall provide Employee a Company-owned wireless smartphone and Company-owned laptop computer during the Term and shall pay or reimburse Employee for all reasonable and necessary business expenses incurred in the performance of his duties to the Company during the Term upon the presentation of appropriate statements of such expenses.</w:t>
      </w:r>
    </w:p>
    <w:p>
      <w:pPr>
        <w:spacing w:after="0" w:line="184" w:lineRule="exact"/>
        <w:rPr>
          <w:rFonts w:ascii="Arial" w:cs="Arial" w:eastAsia="Arial" w:hAnsi="Arial"/>
          <w:sz w:val="22"/>
          <w:szCs w:val="22"/>
          <w:color w:val="auto"/>
        </w:rPr>
      </w:pPr>
    </w:p>
    <w:p>
      <w:pPr>
        <w:ind w:left="-20" w:right="20" w:firstLine="1304"/>
        <w:spacing w:after="0" w:line="249" w:lineRule="auto"/>
        <w:tabs>
          <w:tab w:leader="none" w:pos="1726"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Work Location</w:t>
      </w:r>
      <w:r>
        <w:rPr>
          <w:rFonts w:ascii="Arial" w:cs="Arial" w:eastAsia="Arial" w:hAnsi="Arial"/>
          <w:sz w:val="22"/>
          <w:szCs w:val="22"/>
          <w:color w:val="auto"/>
        </w:rPr>
        <w:t>. Employee’s initial principal work location will be the Company’s office in Greenwich, Connecticut. Employee is expected to establish a permanent residence in the Greenwich, Connecticut metropolitan area no later than August 3, 2020 and, prior to establishing such residence, Employee agrees to commute to the Greenwich, Connecticut office from his then current permanent residence. In connection with such relocation, the Company will provide benefits pursuant to its relocation benefit policies for senior executives, a summary of which has been made available to Employee, which benefits may be used through July 31, 2021.</w:t>
      </w:r>
    </w:p>
    <w:p>
      <w:pPr>
        <w:spacing w:after="0" w:line="194" w:lineRule="exact"/>
        <w:rPr>
          <w:sz w:val="20"/>
          <w:szCs w:val="20"/>
          <w:color w:val="auto"/>
        </w:rPr>
      </w:pPr>
    </w:p>
    <w:p>
      <w:pPr>
        <w:ind w:left="-20" w:right="1120" w:firstLine="1304"/>
        <w:spacing w:after="0" w:line="276" w:lineRule="auto"/>
        <w:tabs>
          <w:tab w:leader="none" w:pos="1672"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Equity Compensation</w:t>
      </w:r>
      <w:r>
        <w:rPr>
          <w:rFonts w:ascii="Arial" w:cs="Arial" w:eastAsia="Arial" w:hAnsi="Arial"/>
          <w:sz w:val="22"/>
          <w:szCs w:val="22"/>
          <w:color w:val="auto"/>
        </w:rPr>
        <w:t>. As soon as practicable following the Start Date, subject to approval by the Compensation Committee, Employee shall receive (i) a grant of RSUs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40" w:top="604" w:right="359" w:bottom="1440" w:gutter="0" w:footer="0" w:header="0"/>
        </w:sectPr>
      </w:pPr>
    </w:p>
    <w:bookmarkStart w:id="85" w:name="page86"/>
    <w:bookmarkEnd w:id="85"/>
    <w:p>
      <w:pPr>
        <w:spacing w:after="0" w:line="248" w:lineRule="auto"/>
        <w:rPr>
          <w:sz w:val="20"/>
          <w:szCs w:val="20"/>
          <w:color w:val="auto"/>
        </w:rPr>
      </w:pPr>
      <w:r>
        <w:rPr>
          <w:rFonts w:ascii="Arial" w:cs="Arial" w:eastAsia="Arial" w:hAnsi="Arial"/>
          <w:sz w:val="22"/>
          <w:szCs w:val="22"/>
          <w:color w:val="auto"/>
        </w:rPr>
        <w:t xml:space="preserve">with a grant date value of $2,000,000, granted pursuant to an award agreement substantially in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and (ii) a grant of performance-based restricted stock units (“</w:t>
      </w:r>
      <w:r>
        <w:rPr>
          <w:rFonts w:ascii="Arial" w:cs="Arial" w:eastAsia="Arial" w:hAnsi="Arial"/>
          <w:sz w:val="22"/>
          <w:szCs w:val="22"/>
          <w:u w:val="single" w:color="auto"/>
          <w:color w:val="auto"/>
        </w:rPr>
        <w:t>PSUs</w:t>
      </w:r>
      <w:r>
        <w:rPr>
          <w:rFonts w:ascii="Arial" w:cs="Arial" w:eastAsia="Arial" w:hAnsi="Arial"/>
          <w:sz w:val="22"/>
          <w:szCs w:val="22"/>
          <w:color w:val="auto"/>
        </w:rPr>
        <w:t xml:space="preserve">”) of the Company with a grant date value of $2,000,000, granted pursuant to an award agreement substantially in the form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 Employee will remain eligible to receive equity-based incentive compensation periodically throughout the Term of this agreement, subject to the sole discretion of the Company.</w:t>
      </w:r>
    </w:p>
    <w:p>
      <w:pPr>
        <w:spacing w:after="0" w:line="192" w:lineRule="exact"/>
        <w:rPr>
          <w:sz w:val="20"/>
          <w:szCs w:val="20"/>
          <w:color w:val="auto"/>
        </w:rPr>
      </w:pPr>
    </w:p>
    <w:p>
      <w:pPr>
        <w:ind w:right="160" w:firstLine="1304"/>
        <w:spacing w:after="0" w:line="301" w:lineRule="auto"/>
        <w:tabs>
          <w:tab w:leader="none" w:pos="1692"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xml:space="preserve"> Employee’s employment hereunder shall be terminated upon the earliest to occur of any one of the following events (in which case the Term shall terminate as of the applicable Date of Termination):</w:t>
      </w:r>
    </w:p>
    <w:p>
      <w:pPr>
        <w:spacing w:after="0" w:line="137" w:lineRule="exact"/>
        <w:rPr>
          <w:sz w:val="20"/>
          <w:szCs w:val="20"/>
          <w:color w:val="auto"/>
        </w:rPr>
      </w:pPr>
    </w:p>
    <w:p>
      <w:pPr>
        <w:ind w:right="240" w:firstLine="1304"/>
        <w:spacing w:after="0" w:line="254" w:lineRule="auto"/>
        <w:tabs>
          <w:tab w:leader="none" w:pos="177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Expiration of Term.</w:t>
      </w:r>
      <w:r>
        <w:rPr>
          <w:rFonts w:ascii="Arial" w:cs="Arial" w:eastAsia="Arial" w:hAnsi="Arial"/>
          <w:sz w:val="22"/>
          <w:szCs w:val="22"/>
          <w:color w:val="auto"/>
        </w:rPr>
        <w:t xml:space="preserve"> Unless sooner terminated, Employee’s employment hereunder shall terminate automatically in accordance with Section 1 of this Agreement on the Expiration Date, unless otherwise agreed by the parties in writing, in which case employment hereunder will continue on an at-will basis or pursuant to the terms of any subsequent agreement between Employee and the Company.</w:t>
      </w:r>
    </w:p>
    <w:p>
      <w:pPr>
        <w:spacing w:after="0" w:line="184" w:lineRule="exact"/>
        <w:rPr>
          <w:rFonts w:ascii="Arial" w:cs="Arial" w:eastAsia="Arial" w:hAnsi="Arial"/>
          <w:sz w:val="22"/>
          <w:szCs w:val="22"/>
          <w:color w:val="auto"/>
        </w:rPr>
      </w:pPr>
    </w:p>
    <w:p>
      <w:pPr>
        <w:ind w:left="1780" w:hanging="476"/>
        <w:spacing w:after="0"/>
        <w:tabs>
          <w:tab w:leader="none" w:pos="178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xml:space="preserve"> Employee’s employment hereunder shall terminate upon his death.</w:t>
      </w:r>
    </w:p>
    <w:p>
      <w:pPr>
        <w:spacing w:after="0" w:line="233" w:lineRule="exact"/>
        <w:rPr>
          <w:rFonts w:ascii="Arial" w:cs="Arial" w:eastAsia="Arial" w:hAnsi="Arial"/>
          <w:sz w:val="22"/>
          <w:szCs w:val="22"/>
          <w:color w:val="auto"/>
        </w:rPr>
      </w:pPr>
    </w:p>
    <w:p>
      <w:pPr>
        <w:ind w:right="20" w:firstLine="1304"/>
        <w:spacing w:after="0" w:line="285" w:lineRule="auto"/>
        <w:tabs>
          <w:tab w:leader="none" w:pos="1770"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xml:space="preserve"> The Company may terminate Employee’s employment hereunder for Cause by written notice at any time. For purposes of this Agreement, the term “</w:t>
      </w:r>
      <w:r>
        <w:rPr>
          <w:rFonts w:ascii="Arial" w:cs="Arial" w:eastAsia="Arial" w:hAnsi="Arial"/>
          <w:sz w:val="19"/>
          <w:szCs w:val="19"/>
          <w:u w:val="single" w:color="auto"/>
          <w:color w:val="auto"/>
        </w:rPr>
        <w:t>Cause</w:t>
      </w:r>
      <w:r>
        <w:rPr>
          <w:rFonts w:ascii="Arial" w:cs="Arial" w:eastAsia="Arial" w:hAnsi="Arial"/>
          <w:sz w:val="19"/>
          <w:szCs w:val="19"/>
          <w:color w:val="auto"/>
        </w:rPr>
        <w:t>” shall mean Employee’s (i) gross negligence or willful failure to perform his duties hereunder or willful refusal to follow any lawful directive of the Company; (ii) abuse of or dependency on alcohol or drugs (illicit or otherwise) that adversely affects Employee’s performance of duties hereunder; (iii) commission of any fraud, embezzlement, theft or dishonesty, or any deliberate misappropriation of money or other assets of the Company; (iv) breach of any term of this Agreement, including, without limitation, by virtue of failing to provide at least 30 days’ advanced written notice of resignation as required by Section 5(f), or any agreement governing any of the long-term incentive compensation or equity compensation awards granted to Employee by the Company, its affiliates or any of their respective predecessors (the “</w:t>
      </w:r>
      <w:r>
        <w:rPr>
          <w:rFonts w:ascii="Arial" w:cs="Arial" w:eastAsia="Arial" w:hAnsi="Arial"/>
          <w:sz w:val="19"/>
          <w:szCs w:val="19"/>
          <w:u w:val="single" w:color="auto"/>
          <w:color w:val="auto"/>
        </w:rPr>
        <w:t>Equity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Compensation</w:t>
      </w:r>
      <w:r>
        <w:rPr>
          <w:rFonts w:ascii="Arial" w:cs="Arial" w:eastAsia="Arial" w:hAnsi="Arial"/>
          <w:sz w:val="19"/>
          <w:szCs w:val="19"/>
          <w:color w:val="auto"/>
        </w:rPr>
        <w:t>”), or breach of his fiduciary duties to the Company; (v) any willful act, or failure to act, in bad faith to the detriment of the Company; (vi) willful failure to cooperate in good faith with a governmental or internal investigation of the Company or any of its directors, managers, officers or employees, if the Company requests his cooperation; (vii) failure to follow the Company’s code of conduct or ethics policy; and (viii) conviction of, or plea of nolo contendere to, a felony or any serious crime; provided that, the Company will provide Employee with written notice describing the facts and circumstances that the Company believes constitutes Cause and, in cases where cure is possible, Employee shall first be provided a 15-day cure period. If, subsequent to Employee’s termination of employment hereunder for any reason other than by the Company for Cause, it is determined in good faith by the Reporting Person that Employee’s employment could have been terminated by the Company for Cause pursuant to this Section 5(c), Employee’s employment shall, at the election of the Reporting Person at any time up to two years after Employee’s termination of employment but in no event more than six months after the Reporting Person learns of the facts or events that could give rise to the termination for Cause, be deemed to have been terminated for Cause retroactively to the date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604" w:right="359" w:bottom="1440" w:gutter="0" w:footer="0" w:header="0"/>
        </w:sectPr>
      </w:pPr>
    </w:p>
    <w:bookmarkStart w:id="86" w:name="page87"/>
    <w:bookmarkEnd w:id="86"/>
    <w:p>
      <w:pPr>
        <w:ind w:right="80"/>
        <w:spacing w:after="0" w:line="253" w:lineRule="auto"/>
        <w:rPr>
          <w:sz w:val="20"/>
          <w:szCs w:val="20"/>
          <w:color w:val="auto"/>
        </w:rPr>
      </w:pPr>
      <w:r>
        <w:rPr>
          <w:rFonts w:ascii="Arial" w:cs="Arial" w:eastAsia="Arial" w:hAnsi="Arial"/>
          <w:sz w:val="22"/>
          <w:szCs w:val="22"/>
          <w:color w:val="auto"/>
        </w:rPr>
        <w:t>events giving rise to Cause occurred, provided that the Company’s ability to deem an Employee’s employment under this sentence to be terminated for Cause shall lapse upon a Change of Control (as defined in the Company’s 2016 Omnibus Incentive Compensation Plan).</w:t>
      </w:r>
    </w:p>
    <w:p>
      <w:pPr>
        <w:spacing w:after="0" w:line="185" w:lineRule="exact"/>
        <w:rPr>
          <w:sz w:val="20"/>
          <w:szCs w:val="20"/>
          <w:color w:val="auto"/>
        </w:rPr>
      </w:pPr>
    </w:p>
    <w:p>
      <w:pPr>
        <w:ind w:left="1780" w:hanging="476"/>
        <w:spacing w:after="0"/>
        <w:tabs>
          <w:tab w:leader="none" w:pos="1780"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Without Cause.</w:t>
      </w:r>
      <w:r>
        <w:rPr>
          <w:rFonts w:ascii="Arial" w:cs="Arial" w:eastAsia="Arial" w:hAnsi="Arial"/>
          <w:sz w:val="19"/>
          <w:szCs w:val="19"/>
          <w:color w:val="auto"/>
        </w:rPr>
        <w:t xml:space="preserve"> The Company may terminate Employee’s employment hereunder without Cause by written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notice at any time.</w:t>
      </w:r>
    </w:p>
    <w:p>
      <w:pPr>
        <w:spacing w:after="0" w:line="215" w:lineRule="exact"/>
        <w:rPr>
          <w:rFonts w:ascii="Arial" w:cs="Arial" w:eastAsia="Arial" w:hAnsi="Arial"/>
          <w:sz w:val="19"/>
          <w:szCs w:val="19"/>
          <w:color w:val="auto"/>
        </w:rPr>
      </w:pPr>
    </w:p>
    <w:p>
      <w:pPr>
        <w:ind w:firstLine="1304"/>
        <w:spacing w:after="0" w:line="287" w:lineRule="auto"/>
        <w:tabs>
          <w:tab w:leader="none" w:pos="1770"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xml:space="preserve"> Upon or during the two-year period following a Change of Control, Employee may terminate his employment hereunder for Good Reason in accordance with the terms of this Section 5(e). For purposes of this Agreement, “</w:t>
      </w:r>
      <w:r>
        <w:rPr>
          <w:rFonts w:ascii="Arial" w:cs="Arial" w:eastAsia="Arial" w:hAnsi="Arial"/>
          <w:sz w:val="19"/>
          <w:szCs w:val="19"/>
          <w:u w:val="single" w:color="auto"/>
          <w:color w:val="auto"/>
        </w:rPr>
        <w:t>Good Reason</w:t>
      </w:r>
      <w:r>
        <w:rPr>
          <w:rFonts w:ascii="Arial" w:cs="Arial" w:eastAsia="Arial" w:hAnsi="Arial"/>
          <w:sz w:val="19"/>
          <w:szCs w:val="19"/>
          <w:color w:val="auto"/>
        </w:rPr>
        <w:t xml:space="preserve">” shall mean, without first obtaining Employee’s written consent: (i) the Company materially breaches the terms of this Agreement; (ii) the Company materially diminishes Employee’s title, duties, authorities, reporting relationship(s), responsibilities or position from any of those in effect immediately preceding the Change of Control (including by virtue of Employee not having duties of a senior executive of a publicly-traded company) or as subsequently increased or enhanced; (iii) the Company reduces the Base Salary or Target Bonus; or (iv) the Company requires that Employee be based in a location that is more than 50 miles from the location of Employee’s employment immediately prior to a Change of Control;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first be provided a 30-day cure period (the “</w:t>
      </w:r>
      <w:r>
        <w:rPr>
          <w:rFonts w:ascii="Arial" w:cs="Arial" w:eastAsia="Arial" w:hAnsi="Arial"/>
          <w:sz w:val="19"/>
          <w:szCs w:val="19"/>
          <w:u w:val="single" w:color="auto"/>
          <w:color w:val="auto"/>
        </w:rPr>
        <w:t>Cure Period</w:t>
      </w:r>
      <w:r>
        <w:rPr>
          <w:rFonts w:ascii="Arial" w:cs="Arial" w:eastAsia="Arial" w:hAnsi="Arial"/>
          <w:sz w:val="19"/>
          <w:szCs w:val="19"/>
          <w:color w:val="auto"/>
        </w:rPr>
        <w:t xml:space="preserve">”), following receipt of written notice setting forth in reasonable detail the specific event, circumstance or conduct of the Company that constitutes Good Reason, to cease, and to cure, any event, circumstance or conduct specified in such written notice, if curable;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such notice shall be provided to the Company within 45 days of the occurrence of the event, circumstance or conduct constituting Good Reason. If, at the end of the Cure Period, the event, circumstance or conduct that constitutes Good Reason has not been remedied, Employee will be entitled to terminate employment for Good Reason during the 30-day period that follows the end of the Cure Period. If Employee does not terminate employment during such 30-day period, Employee will not be permitted to terminate employment for Good Reason as a result of such event, circumstance or conduct.</w:t>
      </w:r>
    </w:p>
    <w:p>
      <w:pPr>
        <w:spacing w:after="0" w:line="166" w:lineRule="exact"/>
        <w:rPr>
          <w:rFonts w:ascii="Arial" w:cs="Arial" w:eastAsia="Arial" w:hAnsi="Arial"/>
          <w:sz w:val="19"/>
          <w:szCs w:val="19"/>
          <w:color w:val="auto"/>
        </w:rPr>
      </w:pPr>
    </w:p>
    <w:p>
      <w:pPr>
        <w:ind w:right="60" w:firstLine="1304"/>
        <w:spacing w:after="0" w:line="276" w:lineRule="auto"/>
        <w:tabs>
          <w:tab w:leader="none" w:pos="1746"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Resignation.</w:t>
      </w:r>
      <w:r>
        <w:rPr>
          <w:rFonts w:ascii="Arial" w:cs="Arial" w:eastAsia="Arial" w:hAnsi="Arial"/>
          <w:sz w:val="22"/>
          <w:szCs w:val="22"/>
          <w:color w:val="auto"/>
        </w:rPr>
        <w:t xml:space="preserve"> Employee may terminate his employment hereunder at any time upon at least 30 days’ advance written notice to the Company.</w:t>
      </w:r>
    </w:p>
    <w:p>
      <w:pPr>
        <w:spacing w:after="0" w:line="160" w:lineRule="exact"/>
        <w:rPr>
          <w:rFonts w:ascii="Arial" w:cs="Arial" w:eastAsia="Arial" w:hAnsi="Arial"/>
          <w:sz w:val="22"/>
          <w:szCs w:val="22"/>
          <w:color w:val="auto"/>
        </w:rPr>
      </w:pPr>
    </w:p>
    <w:p>
      <w:pPr>
        <w:ind w:right="240" w:firstLine="1304"/>
        <w:spacing w:after="0" w:line="300" w:lineRule="auto"/>
        <w:tabs>
          <w:tab w:leader="none" w:pos="1782"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Employee’s employment hereunder shall terminate in the event of Employee’s Disability. For purposes of this Agreement, “</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the inability of Employee, due to illness, accident or any other physical or mental incapacity, to perform Employee’s duties for the Company for an aggregate of 180 days within any period of 12 consecutive months, which inability is determined to be total and permanent by a board-certified physician selected by the Company, and the determination of such physician shall be binding upon Employee and the Company.</w:t>
      </w:r>
    </w:p>
    <w:p>
      <w:pPr>
        <w:spacing w:after="0" w:line="146" w:lineRule="exact"/>
        <w:rPr>
          <w:rFonts w:ascii="Arial" w:cs="Arial" w:eastAsia="Arial" w:hAnsi="Arial"/>
          <w:sz w:val="19"/>
          <w:szCs w:val="19"/>
          <w:color w:val="auto"/>
        </w:rPr>
      </w:pPr>
    </w:p>
    <w:p>
      <w:pPr>
        <w:ind w:right="20" w:firstLine="1304"/>
        <w:spacing w:after="0" w:line="270" w:lineRule="auto"/>
        <w:tabs>
          <w:tab w:leader="none" w:pos="1782" w:val="left"/>
        </w:tabs>
        <w:numPr>
          <w:ilvl w:val="0"/>
          <w:numId w:val="7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Date of Termination</w:t>
      </w:r>
      <w:r>
        <w:rPr>
          <w:rFonts w:ascii="Arial" w:cs="Arial" w:eastAsia="Arial" w:hAnsi="Arial"/>
          <w:sz w:val="21"/>
          <w:szCs w:val="21"/>
          <w:color w:val="auto"/>
        </w:rPr>
        <w:t>” shall mean: (i) the scheduled expiration of the Term in the event of termination of Employee’s employment pursuant to Section 5(a) of this Agreement; (ii) the date of Employee’s death in the event of termination of Employee’s employment pursuant to Section 5(b) of this Agreement; (iii) the date of the Company’s delivery of a notice of termination to Employee or such later date as specified in such notice in the event</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320" w:top="604" w:right="379" w:bottom="1440" w:gutter="0" w:footer="0" w:header="0"/>
        </w:sectPr>
      </w:pPr>
    </w:p>
    <w:bookmarkStart w:id="87" w:name="page88"/>
    <w:bookmarkEnd w:id="87"/>
    <w:p>
      <w:pPr>
        <w:ind w:right="80"/>
        <w:spacing w:after="0" w:line="248" w:lineRule="auto"/>
        <w:rPr>
          <w:sz w:val="20"/>
          <w:szCs w:val="20"/>
          <w:color w:val="auto"/>
        </w:rPr>
      </w:pPr>
      <w:r>
        <w:rPr>
          <w:rFonts w:ascii="Arial" w:cs="Arial" w:eastAsia="Arial" w:hAnsi="Arial"/>
          <w:sz w:val="21"/>
          <w:szCs w:val="21"/>
          <w:color w:val="auto"/>
        </w:rPr>
        <w:t>of termination by the Company pursuant to Section 5(c) or 5(d) of this Agreement; (iv) the 30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following delivery of Employee’s notice to the Company of his resignation in accordance with Section 5(f) (or such earlier date as selected by the Company); (v) the date specified in accordance with Section 5(e) in the event of Employee’s resignation for Good Reason upon or during the two years following a Change of Control; and (vi) the date of a determination of Employee’s Disability in the event of a termination of Employee’s employment pursuant to Section 5(g) of this Agreement.</w:t>
      </w:r>
    </w:p>
    <w:p>
      <w:pPr>
        <w:spacing w:after="0" w:line="190" w:lineRule="exact"/>
        <w:rPr>
          <w:sz w:val="20"/>
          <w:szCs w:val="20"/>
          <w:color w:val="auto"/>
        </w:rPr>
      </w:pPr>
    </w:p>
    <w:p>
      <w:pPr>
        <w:ind w:right="200" w:firstLine="1304"/>
        <w:spacing w:after="0" w:line="288" w:lineRule="auto"/>
        <w:tabs>
          <w:tab w:leader="none" w:pos="1692"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Termination Payments.</w:t>
      </w:r>
      <w:r>
        <w:rPr>
          <w:rFonts w:ascii="Arial" w:cs="Arial" w:eastAsia="Arial" w:hAnsi="Arial"/>
          <w:sz w:val="19"/>
          <w:szCs w:val="19"/>
          <w:color w:val="auto"/>
        </w:rPr>
        <w:t xml:space="preserve"> (a) </w:t>
      </w: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Except as otherwise set forth in this Section 6, following any termination of Employee’s employment hereunder, the obligations of the Company to pay or provide Employee with compensation and benefits under Section 3 of this Agreement shall cease, and the Company shall have no further obligations to provide compensation or benefits to Employee hereunder except for payment of (i) any unpaid Base Salary accrued through the Date of Termination; (ii) to the extent required by law, any unused vacation accrued through the Date of Termination, and</w:t>
      </w:r>
    </w:p>
    <w:p>
      <w:pPr>
        <w:spacing w:after="0" w:line="3" w:lineRule="exact"/>
        <w:rPr>
          <w:rFonts w:ascii="Arial" w:cs="Arial" w:eastAsia="Arial" w:hAnsi="Arial"/>
          <w:sz w:val="19"/>
          <w:szCs w:val="19"/>
          <w:color w:val="auto"/>
        </w:rPr>
      </w:pPr>
    </w:p>
    <w:p>
      <w:pPr>
        <w:ind w:right="40" w:firstLine="8"/>
        <w:spacing w:after="0" w:line="288" w:lineRule="auto"/>
        <w:tabs>
          <w:tab w:leader="none" w:pos="378"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unpaid or unreimbursed obligations and expenses under Section 3(e) of this Agreement accrued or incurred through the Date of Termination (collectively items 6(a)(i) through 6(a)(iii) above, the “</w:t>
      </w:r>
      <w:r>
        <w:rPr>
          <w:rFonts w:ascii="Arial" w:cs="Arial" w:eastAsia="Arial" w:hAnsi="Arial"/>
          <w:sz w:val="19"/>
          <w:szCs w:val="19"/>
          <w:u w:val="single" w:color="auto"/>
          <w:color w:val="auto"/>
        </w:rPr>
        <w:t>Accrued Benefits</w:t>
      </w:r>
      <w:r>
        <w:rPr>
          <w:rFonts w:ascii="Arial" w:cs="Arial" w:eastAsia="Arial" w:hAnsi="Arial"/>
          <w:sz w:val="19"/>
          <w:szCs w:val="19"/>
          <w:color w:val="auto"/>
        </w:rPr>
        <w:t>”). The payments referred to in Sections 6(a)(i) and 6(a)(ii) of this Agreement shall be paid within 30 days following the Date of Termination, subject to compliance with Section 409A of the Internal Revenue Code of 1986, as amended (“</w:t>
      </w:r>
      <w:r>
        <w:rPr>
          <w:rFonts w:ascii="Arial" w:cs="Arial" w:eastAsia="Arial" w:hAnsi="Arial"/>
          <w:sz w:val="19"/>
          <w:szCs w:val="19"/>
          <w:u w:val="single" w:color="auto"/>
          <w:color w:val="auto"/>
        </w:rPr>
        <w:t>Section 409A</w:t>
      </w:r>
      <w:r>
        <w:rPr>
          <w:rFonts w:ascii="Arial" w:cs="Arial" w:eastAsia="Arial" w:hAnsi="Arial"/>
          <w:sz w:val="19"/>
          <w:szCs w:val="19"/>
          <w:color w:val="auto"/>
        </w:rPr>
        <w:t>”). The payments referred to in Section 6(a)(iii) of this Agreement shall be paid at the times such amounts would otherwise be paid had Employee’s services hereunder not terminated. The payments and benefits to be provided to Employee under Sections 6(c) and 6(d) of this Agreement, if any, shall in all events be subject to the satisfaction of the conditions of Section 6(e) of this Agreement.</w:t>
      </w:r>
    </w:p>
    <w:p>
      <w:pPr>
        <w:spacing w:after="0" w:line="158" w:lineRule="exact"/>
        <w:rPr>
          <w:sz w:val="20"/>
          <w:szCs w:val="20"/>
          <w:color w:val="auto"/>
        </w:rPr>
      </w:pPr>
    </w:p>
    <w:p>
      <w:pPr>
        <w:ind w:right="140" w:firstLine="1304"/>
        <w:spacing w:after="0" w:line="254" w:lineRule="auto"/>
        <w:tabs>
          <w:tab w:leader="none" w:pos="1782"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Automatic Expiration of the Term, Resignation, Cause, or Disability.</w:t>
      </w:r>
      <w:r>
        <w:rPr>
          <w:rFonts w:ascii="Arial" w:cs="Arial" w:eastAsia="Arial" w:hAnsi="Arial"/>
          <w:sz w:val="22"/>
          <w:szCs w:val="22"/>
          <w:color w:val="auto"/>
        </w:rPr>
        <w:t xml:space="preserve"> If Employee’s employment is terminated pursuant to Section 5(a), 5(c), 5(f) or 5(g) of this Agreement (excluding, for the avoidance of doubt, a resignation for Good Reason upon or within two years following a Change of Control as described in Section 6(d)), the Company shall have no obligation to Employee other than with respect to the Accrued Benefits.</w:t>
      </w:r>
    </w:p>
    <w:p>
      <w:pPr>
        <w:spacing w:after="0" w:line="184" w:lineRule="exact"/>
        <w:rPr>
          <w:rFonts w:ascii="Arial" w:cs="Arial" w:eastAsia="Arial" w:hAnsi="Arial"/>
          <w:sz w:val="22"/>
          <w:szCs w:val="22"/>
          <w:color w:val="auto"/>
        </w:rPr>
      </w:pPr>
    </w:p>
    <w:p>
      <w:pPr>
        <w:ind w:firstLine="1304"/>
        <w:spacing w:after="0" w:line="259" w:lineRule="auto"/>
        <w:tabs>
          <w:tab w:leader="none" w:pos="177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Death, Without Cause.</w:t>
      </w:r>
      <w:r>
        <w:rPr>
          <w:rFonts w:ascii="Arial" w:cs="Arial" w:eastAsia="Arial" w:hAnsi="Arial"/>
          <w:sz w:val="22"/>
          <w:szCs w:val="22"/>
          <w:color w:val="auto"/>
        </w:rPr>
        <w:t xml:space="preserve"> In the event of a termination by reason of Employee’s death or in the event that, either prior to a Change of Control or more than two years following a Change of Control, the Company terminates Employee’s employment hereunder without Cause, Employee (or his estate) shall be entitled to:</w:t>
      </w:r>
    </w:p>
    <w:p>
      <w:pPr>
        <w:spacing w:after="0" w:line="180" w:lineRule="exact"/>
        <w:rPr>
          <w:sz w:val="20"/>
          <w:szCs w:val="20"/>
          <w:color w:val="auto"/>
        </w:rPr>
      </w:pPr>
    </w:p>
    <w:p>
      <w:pPr>
        <w:ind w:left="1740" w:hanging="436"/>
        <w:spacing w:after="0"/>
        <w:tabs>
          <w:tab w:leader="none" w:pos="17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Accrued Benefits;</w:t>
      </w:r>
    </w:p>
    <w:p>
      <w:pPr>
        <w:spacing w:after="0" w:line="233" w:lineRule="exact"/>
        <w:rPr>
          <w:rFonts w:ascii="Arial" w:cs="Arial" w:eastAsia="Arial" w:hAnsi="Arial"/>
          <w:sz w:val="22"/>
          <w:szCs w:val="22"/>
          <w:color w:val="auto"/>
        </w:rPr>
      </w:pPr>
    </w:p>
    <w:p>
      <w:pPr>
        <w:ind w:right="120" w:firstLine="1304"/>
        <w:spacing w:after="0" w:line="297" w:lineRule="auto"/>
        <w:tabs>
          <w:tab w:leader="none" w:pos="1794" w:val="left"/>
        </w:tabs>
        <w:numPr>
          <w:ilvl w:val="0"/>
          <w:numId w:val="79"/>
        </w:numPr>
        <w:rPr>
          <w:rFonts w:ascii="Arial" w:cs="Arial" w:eastAsia="Arial" w:hAnsi="Arial"/>
          <w:sz w:val="19"/>
          <w:szCs w:val="19"/>
          <w:color w:val="auto"/>
        </w:rPr>
      </w:pPr>
      <w:r>
        <w:rPr>
          <w:rFonts w:ascii="Arial" w:cs="Arial" w:eastAsia="Arial" w:hAnsi="Arial"/>
          <w:sz w:val="19"/>
          <w:szCs w:val="19"/>
          <w:color w:val="auto"/>
        </w:rPr>
        <w:t>solely in the case of a termination by the Company without Cause, a cash payment (the “</w:t>
      </w:r>
      <w:r>
        <w:rPr>
          <w:rFonts w:ascii="Arial" w:cs="Arial" w:eastAsia="Arial" w:hAnsi="Arial"/>
          <w:sz w:val="19"/>
          <w:szCs w:val="19"/>
          <w:u w:val="single" w:color="auto"/>
          <w:color w:val="auto"/>
        </w:rPr>
        <w:t>Severance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w:t>
      </w:r>
      <w:r>
        <w:rPr>
          <w:rFonts w:ascii="Arial" w:cs="Arial" w:eastAsia="Arial" w:hAnsi="Arial"/>
          <w:sz w:val="19"/>
          <w:szCs w:val="19"/>
          <w:color w:val="auto"/>
        </w:rPr>
        <w:t>”) equal to (A) twelve (12) months’ Base Salary, as in effect on the Date of Termination (payable subject to the terms of Section 6(e) of this Agreement), plus (B) a cash payment equal to the product of (I) the Target Bonus and (II) a fraction, the numerator of which is the number of days from January 1 in the year in which the Date of Termination occurs (or the Start Date, if the Date of Termination occurs in 2020) through the Date of Termination and the denominator of which is 365 (or 366, if the Date of Termination occurs in 2020), and, except in the case of a termination by reason of Employee’s death, medical and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593" w:right="339" w:bottom="1440" w:gutter="0" w:footer="0" w:header="0"/>
        </w:sectPr>
      </w:pPr>
    </w:p>
    <w:bookmarkStart w:id="88" w:name="page89"/>
    <w:bookmarkEnd w:id="88"/>
    <w:p>
      <w:pPr>
        <w:spacing w:after="0" w:line="248" w:lineRule="auto"/>
        <w:rPr>
          <w:sz w:val="20"/>
          <w:szCs w:val="20"/>
          <w:color w:val="auto"/>
        </w:rPr>
      </w:pPr>
      <w:r>
        <w:rPr>
          <w:rFonts w:ascii="Arial" w:cs="Arial" w:eastAsia="Arial" w:hAnsi="Arial"/>
          <w:sz w:val="22"/>
          <w:szCs w:val="22"/>
          <w:color w:val="auto"/>
        </w:rPr>
        <w:t>dental coverage for a period of six months from the Date of Termination; provided that (x) any monies Employee earns from any other work, whether as an employee or as an independent contractor, while Employee is receiving any Severance Payments shall reduce, on a dollar-for-dollar basis, the amount that the Company is obligated to pay Employee under this Section 6(c)(ii) and (y) if Employee secures other employment, any medical or dental benefits provided under this Section 6(c)(ii) shall cease as of the commencement of such employment; and</w:t>
      </w:r>
    </w:p>
    <w:p>
      <w:pPr>
        <w:spacing w:after="0" w:line="192" w:lineRule="exact"/>
        <w:rPr>
          <w:sz w:val="20"/>
          <w:szCs w:val="20"/>
          <w:color w:val="auto"/>
        </w:rPr>
      </w:pPr>
    </w:p>
    <w:p>
      <w:pPr>
        <w:ind w:right="240" w:firstLine="1304"/>
        <w:spacing w:after="0" w:line="276" w:lineRule="auto"/>
        <w:tabs>
          <w:tab w:leader="none" w:pos="1854" w:val="left"/>
        </w:tabs>
        <w:numPr>
          <w:ilvl w:val="0"/>
          <w:numId w:val="80"/>
        </w:numPr>
        <w:rPr>
          <w:rFonts w:ascii="Arial" w:cs="Arial" w:eastAsia="Arial" w:hAnsi="Arial"/>
          <w:sz w:val="22"/>
          <w:szCs w:val="22"/>
          <w:color w:val="auto"/>
        </w:rPr>
      </w:pPr>
      <w:r>
        <w:rPr>
          <w:rFonts w:ascii="Arial" w:cs="Arial" w:eastAsia="Arial" w:hAnsi="Arial"/>
          <w:sz w:val="22"/>
          <w:szCs w:val="22"/>
          <w:color w:val="auto"/>
        </w:rPr>
        <w:t>vesting of equity based or other long-term incentive compensation awards solely to the extent set forth in the applicable award agreement.</w:t>
      </w:r>
    </w:p>
    <w:p>
      <w:pPr>
        <w:spacing w:after="0" w:line="161" w:lineRule="exact"/>
        <w:rPr>
          <w:sz w:val="20"/>
          <w:szCs w:val="20"/>
          <w:color w:val="auto"/>
        </w:rPr>
      </w:pPr>
    </w:p>
    <w:p>
      <w:pPr>
        <w:ind w:right="200" w:firstLine="1304"/>
        <w:spacing w:after="0" w:line="259" w:lineRule="auto"/>
        <w:tabs>
          <w:tab w:leader="none" w:pos="1782"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Without Cause or for Good Reason Following a Change of Control</w:t>
      </w:r>
      <w:r>
        <w:rPr>
          <w:rFonts w:ascii="Arial" w:cs="Arial" w:eastAsia="Arial" w:hAnsi="Arial"/>
          <w:sz w:val="22"/>
          <w:szCs w:val="22"/>
          <w:color w:val="auto"/>
        </w:rPr>
        <w:t>. In the event that, upon or within two years following a Change of Control, the Company terminates Employee’s employment hereunder without Cause or Employee resigns for Good Reason, Employee shall be entitled to:</w:t>
      </w:r>
    </w:p>
    <w:p>
      <w:pPr>
        <w:spacing w:after="0" w:line="180" w:lineRule="exact"/>
        <w:rPr>
          <w:sz w:val="20"/>
          <w:szCs w:val="20"/>
          <w:color w:val="auto"/>
        </w:rPr>
      </w:pPr>
    </w:p>
    <w:p>
      <w:pPr>
        <w:ind w:left="1740" w:hanging="436"/>
        <w:spacing w:after="0"/>
        <w:tabs>
          <w:tab w:leader="none" w:pos="17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Accrued Benefits;</w:t>
      </w:r>
    </w:p>
    <w:p>
      <w:pPr>
        <w:spacing w:after="0" w:line="233" w:lineRule="exact"/>
        <w:rPr>
          <w:rFonts w:ascii="Arial" w:cs="Arial" w:eastAsia="Arial" w:hAnsi="Arial"/>
          <w:sz w:val="22"/>
          <w:szCs w:val="22"/>
          <w:color w:val="auto"/>
        </w:rPr>
      </w:pPr>
    </w:p>
    <w:p>
      <w:pPr>
        <w:ind w:left="1800" w:hanging="496"/>
        <w:spacing w:after="0"/>
        <w:tabs>
          <w:tab w:leader="none" w:pos="18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a cash payment (the “</w:t>
      </w:r>
      <w:r>
        <w:rPr>
          <w:rFonts w:ascii="Arial" w:cs="Arial" w:eastAsia="Arial" w:hAnsi="Arial"/>
          <w:sz w:val="19"/>
          <w:szCs w:val="19"/>
          <w:u w:val="single" w:color="auto"/>
          <w:color w:val="auto"/>
        </w:rPr>
        <w:t>CIC Severance Payment</w:t>
      </w:r>
      <w:r>
        <w:rPr>
          <w:rFonts w:ascii="Arial" w:cs="Arial" w:eastAsia="Arial" w:hAnsi="Arial"/>
          <w:sz w:val="19"/>
          <w:szCs w:val="19"/>
          <w:color w:val="auto"/>
        </w:rPr>
        <w:t>”) equal to two times the sum of (A) the Base Salary and (B)</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Target Bonus;</w:t>
      </w:r>
    </w:p>
    <w:p>
      <w:pPr>
        <w:spacing w:after="0" w:line="215" w:lineRule="exact"/>
        <w:rPr>
          <w:rFonts w:ascii="Arial" w:cs="Arial" w:eastAsia="Arial" w:hAnsi="Arial"/>
          <w:sz w:val="19"/>
          <w:szCs w:val="19"/>
          <w:color w:val="auto"/>
        </w:rPr>
      </w:pPr>
    </w:p>
    <w:p>
      <w:pPr>
        <w:ind w:right="180" w:firstLine="1304"/>
        <w:spacing w:after="0" w:line="254" w:lineRule="auto"/>
        <w:tabs>
          <w:tab w:leader="none" w:pos="1854" w:val="left"/>
        </w:tabs>
        <w:numPr>
          <w:ilvl w:val="0"/>
          <w:numId w:val="82"/>
        </w:numPr>
        <w:rPr>
          <w:rFonts w:ascii="Arial" w:cs="Arial" w:eastAsia="Arial" w:hAnsi="Arial"/>
          <w:sz w:val="22"/>
          <w:szCs w:val="22"/>
          <w:color w:val="auto"/>
        </w:rPr>
      </w:pPr>
      <w:r>
        <w:rPr>
          <w:rFonts w:ascii="Arial" w:cs="Arial" w:eastAsia="Arial" w:hAnsi="Arial"/>
          <w:sz w:val="22"/>
          <w:szCs w:val="22"/>
          <w:color w:val="auto"/>
        </w:rPr>
        <w:t>a cash payment equal to the product of (A) the Target Bonus and (B) a fraction, the numerator of which is the number of days from January 1 in the year in which the Date of Termination occurs (or the Start Date, if the Date of Termination occurs in 2020) through the Date of Termination and the denominator of which is 365 (or 366, if the Date of Termination occurs in 2020);</w:t>
      </w:r>
    </w:p>
    <w:p>
      <w:pPr>
        <w:spacing w:after="0" w:line="184" w:lineRule="exact"/>
        <w:rPr>
          <w:rFonts w:ascii="Arial" w:cs="Arial" w:eastAsia="Arial" w:hAnsi="Arial"/>
          <w:sz w:val="22"/>
          <w:szCs w:val="22"/>
          <w:color w:val="auto"/>
        </w:rPr>
      </w:pPr>
    </w:p>
    <w:p>
      <w:pPr>
        <w:ind w:right="520" w:firstLine="1304"/>
        <w:spacing w:after="0" w:line="358" w:lineRule="auto"/>
        <w:tabs>
          <w:tab w:leader="none" w:pos="1842" w:val="left"/>
        </w:tabs>
        <w:numPr>
          <w:ilvl w:val="0"/>
          <w:numId w:val="82"/>
        </w:numPr>
        <w:rPr>
          <w:rFonts w:ascii="Arial" w:cs="Arial" w:eastAsia="Arial" w:hAnsi="Arial"/>
          <w:sz w:val="19"/>
          <w:szCs w:val="19"/>
          <w:color w:val="auto"/>
        </w:rPr>
      </w:pPr>
      <w:r>
        <w:rPr>
          <w:rFonts w:ascii="Arial" w:cs="Arial" w:eastAsia="Arial" w:hAnsi="Arial"/>
          <w:sz w:val="19"/>
          <w:szCs w:val="19"/>
          <w:color w:val="auto"/>
        </w:rPr>
        <w:t>a cash payment equal to the amount of any Annual Bonus that the Company has notified Employee in writing that Employee has earned prior to the Date of Termination but is unpaid as of the Date of Termination; and</w:t>
      </w:r>
    </w:p>
    <w:p>
      <w:pPr>
        <w:spacing w:after="0" w:line="90" w:lineRule="exact"/>
        <w:rPr>
          <w:rFonts w:ascii="Arial" w:cs="Arial" w:eastAsia="Arial" w:hAnsi="Arial"/>
          <w:sz w:val="19"/>
          <w:szCs w:val="19"/>
          <w:color w:val="auto"/>
        </w:rPr>
      </w:pPr>
    </w:p>
    <w:p>
      <w:pPr>
        <w:ind w:left="1780" w:hanging="476"/>
        <w:spacing w:after="0"/>
        <w:tabs>
          <w:tab w:leader="none" w:pos="17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medical and dental coverage for a period of 24 months from the Date of Termination.</w:t>
      </w:r>
    </w:p>
    <w:p>
      <w:pPr>
        <w:spacing w:after="0" w:line="233" w:lineRule="exact"/>
        <w:rPr>
          <w:sz w:val="20"/>
          <w:szCs w:val="20"/>
          <w:color w:val="auto"/>
        </w:rPr>
      </w:pPr>
    </w:p>
    <w:p>
      <w:pPr>
        <w:ind w:right="120" w:firstLine="1304"/>
        <w:spacing w:after="0" w:line="290" w:lineRule="auto"/>
        <w:tabs>
          <w:tab w:leader="none" w:pos="1770"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Conditions Precedent and Subsequent.</w:t>
      </w:r>
      <w:r>
        <w:rPr>
          <w:rFonts w:ascii="Arial" w:cs="Arial" w:eastAsia="Arial" w:hAnsi="Arial"/>
          <w:sz w:val="19"/>
          <w:szCs w:val="19"/>
          <w:color w:val="auto"/>
        </w:rPr>
        <w:t xml:space="preserve"> The payments and benefits provided under Sections 6(c) and 6(d) of this Agreement (other than the Accrued Benefits and other than in the event of termination by reason of Employee’s death or Disability) are subject to and conditioned upon (i) Employee having provided, within 60 days after the Date of Termination (or such greater period as required by law), a waiver and general release agreement in a form satisfactory to the Company that has become effective and irrevocable in accordance with its terms, and (ii) Employee’s compliance with Sections 7 and 8 of this Agreement. Employee shall, upon request by the Company, be required to repay to the Company (net of any taxes paid by Employee on such payments), and the Company shall have no further obligation to pay, the Severance Payment or CIC Severance Payment, as applicable, in the event Employee receives, within six months after the occurrence of the breach, written notice from the Company that, in the reasonable judgment of the Company, Employee has materially breached his obligations under Section 7 or 8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cases where cure</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180"/>
          </w:cols>
          <w:pgMar w:left="320" w:top="604" w:right="399" w:bottom="1440" w:gutter="0" w:footer="0" w:header="0"/>
        </w:sectPr>
      </w:pPr>
    </w:p>
    <w:bookmarkStart w:id="89" w:name="page90"/>
    <w:bookmarkEnd w:id="89"/>
    <w:p>
      <w:pPr>
        <w:spacing w:after="0" w:line="289" w:lineRule="auto"/>
        <w:rPr>
          <w:sz w:val="20"/>
          <w:szCs w:val="20"/>
          <w:color w:val="auto"/>
        </w:rPr>
      </w:pPr>
      <w:r>
        <w:rPr>
          <w:rFonts w:ascii="Arial" w:cs="Arial" w:eastAsia="Arial" w:hAnsi="Arial"/>
          <w:sz w:val="19"/>
          <w:szCs w:val="19"/>
          <w:color w:val="auto"/>
        </w:rPr>
        <w:t xml:space="preserve">is possible, Employee shall first be provided a 15-day cure period to cease, and to cure, such conduct. The Severance Payment if any, payable hereunder shall be paid in substantially equal installments over the 6-month period, following the Date of Termination, consistent with the Company’s payroll practices, with the first installment to be paid within 65 days after the Date of Termination and with any installments that would otherwise have been paid prior to such date accumulated and paid in a lump sum on the first date on which payments are made in accordance with the terms of this sentence. The CIC Severance Payment, if any, payable hereunder shall be paid in one lump sum within 65 days after the Date of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unless the CIC Severance Payment relates to a transaction that satisfies the requirements of Treas. Reg. § 1.409A-3(i)(5), any portion of the CIC Severance Payment that constitutes deferred compensation within the meaning of Section 409A, will be paid at the earliest date that is permitted in accordance with the schedule that is applicable to the Severance Payment.</w:t>
      </w:r>
    </w:p>
    <w:p>
      <w:pPr>
        <w:spacing w:after="0" w:line="157" w:lineRule="exact"/>
        <w:rPr>
          <w:sz w:val="20"/>
          <w:szCs w:val="20"/>
          <w:color w:val="auto"/>
        </w:rPr>
      </w:pPr>
    </w:p>
    <w:p>
      <w:pPr>
        <w:ind w:firstLine="1304"/>
        <w:spacing w:after="0" w:line="285" w:lineRule="auto"/>
        <w:tabs>
          <w:tab w:leader="none" w:pos="1746" w:val="left"/>
        </w:tabs>
        <w:numPr>
          <w:ilvl w:val="1"/>
          <w:numId w:val="84"/>
        </w:numPr>
        <w:rPr>
          <w:rFonts w:ascii="Arial" w:cs="Arial" w:eastAsia="Arial" w:hAnsi="Arial"/>
          <w:sz w:val="19"/>
          <w:szCs w:val="19"/>
          <w:color w:val="auto"/>
        </w:rPr>
      </w:pPr>
      <w:r>
        <w:rPr>
          <w:rFonts w:ascii="Arial" w:cs="Arial" w:eastAsia="Arial" w:hAnsi="Arial"/>
          <w:sz w:val="19"/>
          <w:szCs w:val="19"/>
          <w:u w:val="single" w:color="auto"/>
          <w:color w:val="auto"/>
        </w:rPr>
        <w:t>Forfeiture of Equity Compensation Awards.</w:t>
      </w:r>
      <w:r>
        <w:rPr>
          <w:rFonts w:ascii="Arial" w:cs="Arial" w:eastAsia="Arial" w:hAnsi="Arial"/>
          <w:sz w:val="19"/>
          <w:szCs w:val="19"/>
          <w:color w:val="auto"/>
        </w:rPr>
        <w:t xml:space="preserve"> Notwithstanding anything to the contrary herein and without limiting any rights and remedies available to the Company under the terms of this Agreement or otherwise at law or in equity (including as may be required by law or pursuant to policies of the Company as may be in effect from time to time), in the event the Company terminates Employee’s employment for Cause or if Employee violates the restrictive covenants set forth in Sections 7 and 8 of this Agreement or engages in fraud or willful misconduct that contributes materially to any financial restatement or material loss to the Company or any of its affiliates, the Company may (i) in the case of a termination for Cause, at any time up to six months after such termination, or (ii) in the case of a violation of the restrictive covenants or engaging in fraud or willful misconduct, at any time up to six months after learning of such conduct, but in no event more than two years after Employee engages in such conduct, (x) terminate or cancel any Equity Compensation that are unvested or vested and unexercised,</w:t>
      </w:r>
    </w:p>
    <w:p>
      <w:pPr>
        <w:spacing w:after="0" w:line="4" w:lineRule="exact"/>
        <w:rPr>
          <w:rFonts w:ascii="Arial" w:cs="Arial" w:eastAsia="Arial" w:hAnsi="Arial"/>
          <w:sz w:val="19"/>
          <w:szCs w:val="19"/>
          <w:color w:val="auto"/>
        </w:rPr>
      </w:pPr>
    </w:p>
    <w:p>
      <w:pPr>
        <w:ind w:right="120" w:firstLine="8"/>
        <w:spacing w:after="0" w:line="257" w:lineRule="auto"/>
        <w:tabs>
          <w:tab w:leader="none" w:pos="306" w:val="left"/>
        </w:tabs>
        <w:numPr>
          <w:ilvl w:val="0"/>
          <w:numId w:val="85"/>
        </w:numPr>
        <w:rPr>
          <w:rFonts w:ascii="Arial" w:cs="Arial" w:eastAsia="Arial" w:hAnsi="Arial"/>
          <w:sz w:val="21"/>
          <w:szCs w:val="21"/>
          <w:color w:val="auto"/>
        </w:rPr>
      </w:pPr>
      <w:r>
        <w:rPr>
          <w:rFonts w:ascii="Arial" w:cs="Arial" w:eastAsia="Arial" w:hAnsi="Arial"/>
          <w:sz w:val="21"/>
          <w:szCs w:val="21"/>
          <w:color w:val="auto"/>
        </w:rPr>
        <w:t xml:space="preserve">require Employee to forfeit or remit to the Company any amount payable, or the after-tax net amount paid or received by Employee, in respect of any Equity Compensation the vesting of which was accelerated upon termination of Employee’s employment for any reason and (z) require Employee to forfeit or remit to the Company any shares (or the equivalent value in cash) that were issued to Employee (or cash that was paid to Employee) upon vesting, settlement or exercise, as applicable, of any Equity Compensation;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cases where cure is possible, Employee shall first be provided a 15-day cure period to cease, and to cure, such conduct. In addition, Employee’s Equity Compensation shall be subject to any other clawback or recoupment policy of the Company as may be in effect from time to time or any clawback or recoupment as may be required by applicable law.</w:t>
      </w:r>
    </w:p>
    <w:p>
      <w:pPr>
        <w:spacing w:after="0" w:line="181" w:lineRule="exact"/>
        <w:rPr>
          <w:rFonts w:ascii="Arial" w:cs="Arial" w:eastAsia="Arial" w:hAnsi="Arial"/>
          <w:sz w:val="21"/>
          <w:szCs w:val="21"/>
          <w:color w:val="auto"/>
        </w:rPr>
      </w:pPr>
    </w:p>
    <w:p>
      <w:pPr>
        <w:ind w:right="80" w:firstLine="1304"/>
        <w:spacing w:after="0" w:line="294" w:lineRule="auto"/>
        <w:tabs>
          <w:tab w:leader="none" w:pos="1782"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Section 280G.</w:t>
      </w:r>
      <w:r>
        <w:rPr>
          <w:rFonts w:ascii="Arial" w:cs="Arial" w:eastAsia="Arial" w:hAnsi="Arial"/>
          <w:sz w:val="19"/>
          <w:szCs w:val="19"/>
          <w:color w:val="auto"/>
        </w:rPr>
        <w:t xml:space="preserve"> In the event that any payments, distributions, benefits or entitlements of any type payable to Employee (“</w:t>
      </w:r>
      <w:r>
        <w:rPr>
          <w:rFonts w:ascii="Arial" w:cs="Arial" w:eastAsia="Arial" w:hAnsi="Arial"/>
          <w:sz w:val="19"/>
          <w:szCs w:val="19"/>
          <w:u w:val="single" w:color="auto"/>
          <w:color w:val="auto"/>
        </w:rPr>
        <w:t>CIC Benefits</w:t>
      </w:r>
      <w:r>
        <w:rPr>
          <w:rFonts w:ascii="Arial" w:cs="Arial" w:eastAsia="Arial" w:hAnsi="Arial"/>
          <w:sz w:val="19"/>
          <w:szCs w:val="19"/>
          <w:color w:val="auto"/>
        </w:rPr>
        <w:t>”) (i) constitute “parachute payments” within the meaning of Section 280G of the Code, and (ii) but for this paragraph would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Employee’s CIC Benefits shall be reduced to such lesser amount (the “</w:t>
      </w:r>
      <w:r>
        <w:rPr>
          <w:rFonts w:ascii="Arial" w:cs="Arial" w:eastAsia="Arial" w:hAnsi="Arial"/>
          <w:sz w:val="19"/>
          <w:szCs w:val="19"/>
          <w:u w:val="single" w:color="auto"/>
          <w:color w:val="auto"/>
        </w:rPr>
        <w:t>Reduced Amount</w:t>
      </w:r>
      <w:r>
        <w:rPr>
          <w:rFonts w:ascii="Arial" w:cs="Arial" w:eastAsia="Arial" w:hAnsi="Arial"/>
          <w:sz w:val="19"/>
          <w:szCs w:val="19"/>
          <w:color w:val="auto"/>
        </w:rPr>
        <w:t xml:space="preserve">”) that would result in no portion of such benefits being subject to the Excise Tax;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amounts shall not be so reduced if the Company determines, based on the advice of a nationally recognized accounting firm selected by the Company prior to a Change of Control (the “</w:t>
      </w:r>
      <w:r>
        <w:rPr>
          <w:rFonts w:ascii="Arial" w:cs="Arial" w:eastAsia="Arial" w:hAnsi="Arial"/>
          <w:sz w:val="19"/>
          <w:szCs w:val="19"/>
          <w:u w:val="single" w:color="auto"/>
          <w:color w:val="auto"/>
        </w:rPr>
        <w:t>Accountants</w:t>
      </w:r>
      <w:r>
        <w:rPr>
          <w:rFonts w:ascii="Arial" w:cs="Arial" w:eastAsia="Arial" w:hAnsi="Arial"/>
          <w:sz w:val="19"/>
          <w:szCs w:val="19"/>
          <w:color w:val="auto"/>
        </w:rPr>
        <w:t>”), that without such reduction Employee would be entitled to receive and retain,</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604" w:right="339" w:bottom="1440" w:gutter="0" w:footer="0" w:header="0"/>
        </w:sectPr>
      </w:pPr>
    </w:p>
    <w:bookmarkStart w:id="90" w:name="page91"/>
    <w:bookmarkEnd w:id="90"/>
    <w:p>
      <w:pPr>
        <w:ind w:right="20"/>
        <w:spacing w:after="0" w:line="287" w:lineRule="auto"/>
        <w:rPr>
          <w:sz w:val="20"/>
          <w:szCs w:val="20"/>
          <w:color w:val="auto"/>
        </w:rPr>
      </w:pPr>
      <w:r>
        <w:rPr>
          <w:rFonts w:ascii="Arial" w:cs="Arial" w:eastAsia="Arial" w:hAnsi="Arial"/>
          <w:sz w:val="19"/>
          <w:szCs w:val="19"/>
          <w:color w:val="auto"/>
        </w:rPr>
        <w:t>on a net after tax basis (including, without limitation, any excise taxes payable under Section 4999 of the Code), an amount that is greater than the amount, on a net after tax basis, that Employee would be entitled to retain upon receipt of the Reduced Amount. Unless the Company and Employee otherwise agree in writing, any determination required under this Section 6(g) shall be made in writing in good faith by the Accountants. In the event of a reduction of benefits hereunder, benefits shall be reduced by first reducing or eliminating the portion of the CIC Benefits that are payable in cash under Section 6(d)(ii) and 6(d)(iii) and then by reducing or eliminating any amounts that are payable with respect to long-term incentives including any equity-based or equity-related awards (whether payable in cash or in kind). For purposes of making the calculations required by this Section 6(g), the Accountants may make reasonable assumptions and approximations concerning applicable taxes and may rely on reasonable, good faith interpretations concerning the application of the Code, and other applicable legal authority. The Company and Employee shall furnish to the Accountants such information and documents as the Accountants may reasonably require in order to make a determination under this Section 6(g), and the Company shall bear the cost of all fees the Accountants charge in connection with any calculations contemplated by this Section 6(g).</w:t>
      </w:r>
    </w:p>
    <w:p>
      <w:pPr>
        <w:spacing w:after="0" w:line="159" w:lineRule="exact"/>
        <w:rPr>
          <w:sz w:val="20"/>
          <w:szCs w:val="20"/>
          <w:color w:val="auto"/>
        </w:rPr>
      </w:pPr>
    </w:p>
    <w:p>
      <w:pPr>
        <w:ind w:firstLine="1304"/>
        <w:spacing w:after="0" w:line="261" w:lineRule="auto"/>
        <w:tabs>
          <w:tab w:leader="none" w:pos="1692"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Non-Solicitation.</w:t>
      </w:r>
      <w:r>
        <w:rPr>
          <w:rFonts w:ascii="Arial" w:cs="Arial" w:eastAsia="Arial" w:hAnsi="Arial"/>
          <w:sz w:val="21"/>
          <w:szCs w:val="21"/>
          <w:color w:val="auto"/>
        </w:rPr>
        <w:t xml:space="preserve"> (a) During the Term and during the Restricted Period, Employee hereby agrees not to, directly or indirectly, solicit or hire or assist any other person or entity in soliciting or hiring any employee of the Company, or any of its affiliates (the “</w:t>
      </w:r>
      <w:r>
        <w:rPr>
          <w:rFonts w:ascii="Arial" w:cs="Arial" w:eastAsia="Arial" w:hAnsi="Arial"/>
          <w:sz w:val="21"/>
          <w:szCs w:val="21"/>
          <w:u w:val="single" w:color="auto"/>
          <w:color w:val="auto"/>
        </w:rPr>
        <w:t>Company Entities</w:t>
      </w:r>
      <w:r>
        <w:rPr>
          <w:rFonts w:ascii="Arial" w:cs="Arial" w:eastAsia="Arial" w:hAnsi="Arial"/>
          <w:sz w:val="21"/>
          <w:szCs w:val="21"/>
          <w:color w:val="auto"/>
        </w:rPr>
        <w:t>”), to perform services for any entity (other than a Company Entity) or attempt to induce any such employee to leave the service of a Company Entity, or solicit, hire, employ or engage on behalf of himself or any other person, any employee of a Company Entity, or anyone who was employed by a Company Entity, during the twelve-month period preceding such hiring, employment or engagement. “</w:t>
      </w:r>
      <w:r>
        <w:rPr>
          <w:rFonts w:ascii="Arial" w:cs="Arial" w:eastAsia="Arial" w:hAnsi="Arial"/>
          <w:sz w:val="21"/>
          <w:szCs w:val="21"/>
          <w:u w:val="single" w:color="auto"/>
          <w:color w:val="auto"/>
        </w:rPr>
        <w:t>Restricted Period</w:t>
      </w:r>
      <w:r>
        <w:rPr>
          <w:rFonts w:ascii="Arial" w:cs="Arial" w:eastAsia="Arial" w:hAnsi="Arial"/>
          <w:sz w:val="21"/>
          <w:szCs w:val="21"/>
          <w:color w:val="auto"/>
        </w:rPr>
        <w:t>” means three years following termination of Employee’s employment for any reason and, for the avoidance of doubt, regardless of whether such termination is before, upon or after expiration of the Term.</w:t>
      </w:r>
    </w:p>
    <w:p>
      <w:pPr>
        <w:spacing w:after="0" w:line="181" w:lineRule="exact"/>
        <w:rPr>
          <w:sz w:val="20"/>
          <w:szCs w:val="20"/>
          <w:color w:val="auto"/>
        </w:rPr>
      </w:pPr>
    </w:p>
    <w:p>
      <w:pPr>
        <w:ind w:right="220" w:firstLine="1304"/>
        <w:spacing w:after="0" w:line="297" w:lineRule="auto"/>
        <w:tabs>
          <w:tab w:leader="none" w:pos="1782" w:val="left"/>
        </w:tabs>
        <w:numPr>
          <w:ilvl w:val="0"/>
          <w:numId w:val="87"/>
        </w:numPr>
        <w:rPr>
          <w:rFonts w:ascii="Arial" w:cs="Arial" w:eastAsia="Arial" w:hAnsi="Arial"/>
          <w:sz w:val="19"/>
          <w:szCs w:val="19"/>
          <w:color w:val="auto"/>
        </w:rPr>
      </w:pPr>
      <w:r>
        <w:rPr>
          <w:rFonts w:ascii="Arial" w:cs="Arial" w:eastAsia="Arial" w:hAnsi="Arial"/>
          <w:sz w:val="19"/>
          <w:szCs w:val="19"/>
          <w:color w:val="auto"/>
        </w:rPr>
        <w:t>During the Term and during the Restricted Period, Employee hereby agrees not to, directly or indirectly, solicit, encourage, advise or influence any individuals, partnerships, corporations, professional associations or other business organizations that have a business relationship with any Company Entity during the Term or for the three years thereafter and about which business relationship Employee was aware (the “</w:t>
      </w:r>
      <w:r>
        <w:rPr>
          <w:rFonts w:ascii="Arial" w:cs="Arial" w:eastAsia="Arial" w:hAnsi="Arial"/>
          <w:sz w:val="19"/>
          <w:szCs w:val="19"/>
          <w:u w:val="single" w:color="auto"/>
          <w:color w:val="auto"/>
        </w:rPr>
        <w:t>Company’s Clients</w:t>
      </w:r>
      <w:r>
        <w:rPr>
          <w:rFonts w:ascii="Arial" w:cs="Arial" w:eastAsia="Arial" w:hAnsi="Arial"/>
          <w:sz w:val="19"/>
          <w:szCs w:val="19"/>
          <w:color w:val="auto"/>
        </w:rPr>
        <w:t>”) or to discontinue or reduce the extent of the relationship between the Company Entities and the Company’s Clients or to obtain or seek products or services the same as or similar to those offered by the Company Entities from any source not affiliated with the Company Entities.</w:t>
      </w:r>
    </w:p>
    <w:p>
      <w:pPr>
        <w:spacing w:after="0" w:line="146" w:lineRule="exact"/>
        <w:rPr>
          <w:sz w:val="20"/>
          <w:szCs w:val="20"/>
          <w:color w:val="auto"/>
        </w:rPr>
      </w:pPr>
    </w:p>
    <w:p>
      <w:pPr>
        <w:ind w:left="1300"/>
        <w:spacing w:after="0"/>
        <w:tabs>
          <w:tab w:leader="none" w:pos="1720" w:val="left"/>
          <w:tab w:leader="none" w:pos="9460" w:val="left"/>
        </w:tabs>
        <w:rPr>
          <w:sz w:val="20"/>
          <w:szCs w:val="20"/>
          <w:color w:val="auto"/>
        </w:rPr>
      </w:pPr>
      <w:r>
        <w:rPr>
          <w:rFonts w:ascii="Arial" w:cs="Arial" w:eastAsia="Arial" w:hAnsi="Arial"/>
          <w:sz w:val="22"/>
          <w:szCs w:val="22"/>
          <w:color w:val="auto"/>
        </w:rPr>
        <w:t>8.</w:t>
        <w:tab/>
        <w:t>Confidentiality; Non-Compete; Non-Disclosure; Non-Disparagement; Cooperation. (a)</w:t>
      </w:r>
      <w:r>
        <w:rPr>
          <w:sz w:val="20"/>
          <w:szCs w:val="20"/>
          <w:color w:val="auto"/>
        </w:rPr>
        <w:tab/>
      </w:r>
      <w:r>
        <w:rPr>
          <w:rFonts w:ascii="Arial" w:cs="Arial" w:eastAsia="Arial" w:hAnsi="Arial"/>
          <w:sz w:val="19"/>
          <w:szCs w:val="19"/>
          <w:color w:val="auto"/>
        </w:rPr>
        <w:t>Confidentiality.</w:t>
      </w:r>
    </w:p>
    <w:p>
      <w:pPr>
        <w:spacing w:after="0" w:line="21" w:lineRule="exact"/>
        <w:rPr>
          <w:sz w:val="20"/>
          <w:szCs w:val="20"/>
          <w:color w:val="auto"/>
        </w:rPr>
      </w:pPr>
    </w:p>
    <w:p>
      <w:pPr>
        <w:ind w:firstLine="8"/>
        <w:spacing w:after="0" w:line="292" w:lineRule="auto"/>
        <w:tabs>
          <w:tab w:leader="none" w:pos="420" w:val="left"/>
        </w:tabs>
        <w:numPr>
          <w:ilvl w:val="0"/>
          <w:numId w:val="88"/>
        </w:numPr>
        <w:rPr>
          <w:rFonts w:ascii="Arial" w:cs="Arial" w:eastAsia="Arial" w:hAnsi="Arial"/>
          <w:sz w:val="19"/>
          <w:szCs w:val="19"/>
          <w:color w:val="auto"/>
        </w:rPr>
      </w:pPr>
      <w:r>
        <w:rPr>
          <w:rFonts w:ascii="Arial" w:cs="Arial" w:eastAsia="Arial" w:hAnsi="Arial"/>
          <w:sz w:val="19"/>
          <w:szCs w:val="19"/>
          <w:color w:val="auto"/>
        </w:rPr>
        <w:t>Employee hereby agrees that, during the Term and thereafter, he will hold in strict confidence any Confidential Information related to any of the Company Entities. For purposes of this Agreement, “Confidential Information” shall mean all confidential or proprietary information of any of the Company Entities (in whatever form), whether or not that information rises to the level of a protectable trade secret, including, without limitation: any information, observations and data concerning the business or affairs or operation of the Company Entities developed or learned by Employee during the Term or which any</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604" w:right="359" w:bottom="1440" w:gutter="0" w:footer="0" w:header="0"/>
        </w:sectPr>
      </w:pPr>
    </w:p>
    <w:bookmarkStart w:id="91" w:name="page92"/>
    <w:bookmarkEnd w:id="91"/>
    <w:p>
      <w:pPr>
        <w:spacing w:after="0" w:line="284" w:lineRule="auto"/>
        <w:rPr>
          <w:sz w:val="20"/>
          <w:szCs w:val="20"/>
          <w:color w:val="auto"/>
        </w:rPr>
      </w:pPr>
      <w:r>
        <w:rPr>
          <w:rFonts w:ascii="Arial" w:cs="Arial" w:eastAsia="Arial" w:hAnsi="Arial"/>
          <w:sz w:val="19"/>
          <w:szCs w:val="19"/>
          <w:color w:val="auto"/>
        </w:rPr>
        <w:t>Company Entity or any of their respective members, directors, officers, managers, partners, employees, agents, advisors, attorneys, accountants, consultants, investment bankers, investment advisors or financing sources at any time furnishes or has furnished to Employee in connection with the business of any of the Company Entities; the Company’s (and any of its respective affiliates’) investment methodologies or models, investment advisory contracts, fees and fee schedules or investment performance (“Track Records”); technical information or reports; brand names, trademarks, formulas; trade secrets; unwritten knowledge and “know-how”; operating instructions; training manuals; customer lists and related customer information; customer buying records and habits; product sales records and documents, and product development, marketing and sales strategies; market surveys; marketing plans; profitability analyses; product cost; long-range plans; information relating to pricing, competitive strategies and new product development; information relating to any forms of compensation or other personnel-related information of the Company Entities; contracts and supplier lists and any information relating to financial data, strategic business plans; information about any third parties with which any Company Entity has a business relationship or owes a duty of confidentiality; and all notes, analyses, compilations, forecasts, studies or other documents prepared by Employee or obtained by Employee in the course of his work for a Company Entity that contain or reflect any such information and, in each case, which is not known to the public generally other than as a result of Employee’s breach of this Agreement. Without limiting the foregoing, Employee acknowledges and agrees that the Track Records shall not be the work of any one individual (including Employee) and are the exclusive property of the Company and its affiliates, as applicable, and agrees that he shall in no event claim the Track Records as his own following termination of his employment with the Company. Nothing in this Agreement shall prohibit or restrict any person from (1) testifying truthfully to the extent required by applicable law or legal process, (2) communicating with any governmental, administrative or regulatory agency or authority, including, but not limited to, the U.S. Securities and Exchange Commission, the U.S. Consumer Financial Protection Bureau, the U.S. Department of Justice, the U.S. Equal Employment Opportunity Commission and the U.S. National Labor Relations Board, (3) disclosing information in confidence to an attorney for the purpose of obtaining legal advice so long as such attorney agrees not to use or disclose such information, (4) disclosing information with the prior written consent of the Board so long as such consent specifically references this provision and/or (5) disclosing information that is publicly known other than by reason of Employee’s violation of this Section 8(a). In the event Employee or his legal representative is requested or required to disclose any Confidential Information, Employee shall provide the Company with prompt notice of such request or requirement so that the Company may seek an appropriate protective order (in which Employee will cooperate). If the Company fails to obtain a protective order or provides a waiver hereunder, and Employee is, in the opinion of counsel, compelled to disclose Confidential Information, Employee may disclose only that portion of the Confidential Information that Employee’s counsel advises is reasonably required by law to disclose.</w:t>
      </w:r>
    </w:p>
    <w:p>
      <w:pPr>
        <w:spacing w:after="0" w:line="200" w:lineRule="exact"/>
        <w:rPr>
          <w:sz w:val="20"/>
          <w:szCs w:val="20"/>
          <w:color w:val="auto"/>
        </w:rPr>
      </w:pPr>
    </w:p>
    <w:p>
      <w:pPr>
        <w:spacing w:after="0" w:line="215" w:lineRule="exact"/>
        <w:rPr>
          <w:sz w:val="20"/>
          <w:szCs w:val="20"/>
          <w:color w:val="auto"/>
        </w:rPr>
      </w:pPr>
    </w:p>
    <w:p>
      <w:pPr>
        <w:ind w:right="220" w:firstLine="1304"/>
        <w:spacing w:after="0" w:line="312" w:lineRule="auto"/>
        <w:tabs>
          <w:tab w:leader="none" w:pos="1830" w:val="left"/>
        </w:tabs>
        <w:numPr>
          <w:ilvl w:val="0"/>
          <w:numId w:val="89"/>
        </w:numPr>
        <w:rPr>
          <w:rFonts w:ascii="Arial" w:cs="Arial" w:eastAsia="Arial" w:hAnsi="Arial"/>
          <w:sz w:val="19"/>
          <w:szCs w:val="19"/>
          <w:color w:val="auto"/>
        </w:rPr>
      </w:pPr>
      <w:r>
        <w:rPr>
          <w:rFonts w:ascii="Arial" w:cs="Arial" w:eastAsia="Arial" w:hAnsi="Arial"/>
          <w:sz w:val="19"/>
          <w:szCs w:val="19"/>
          <w:color w:val="auto"/>
        </w:rPr>
        <w:t>Except as expressly set forth otherwise in this Agreement, Employee agrees that Employee shall not disclose the terms of this Agreement, except to his immediate family and his financial and legal advisors, or as may be required by law or ordered by a court. Employee further agrees that any disclosure to his financial and legal advisors will only be made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604" w:right="339" w:bottom="1440" w:gutter="0" w:footer="0" w:header="0"/>
        </w:sectPr>
      </w:pPr>
    </w:p>
    <w:bookmarkStart w:id="92" w:name="page93"/>
    <w:bookmarkEnd w:id="92"/>
    <w:p>
      <w:pPr>
        <w:spacing w:after="0"/>
        <w:rPr>
          <w:sz w:val="20"/>
          <w:szCs w:val="20"/>
          <w:color w:val="auto"/>
        </w:rPr>
      </w:pPr>
      <w:r>
        <w:rPr>
          <w:rFonts w:ascii="Arial" w:cs="Arial" w:eastAsia="Arial" w:hAnsi="Arial"/>
          <w:sz w:val="22"/>
          <w:szCs w:val="22"/>
          <w:color w:val="auto"/>
        </w:rPr>
        <w:t>after such advisors acknowledge and agree to maintain the confidentiality of this Agreement and its terms.</w:t>
      </w:r>
    </w:p>
    <w:p>
      <w:pPr>
        <w:spacing w:after="0" w:line="220" w:lineRule="exact"/>
        <w:rPr>
          <w:sz w:val="20"/>
          <w:szCs w:val="20"/>
          <w:color w:val="auto"/>
        </w:rPr>
      </w:pPr>
    </w:p>
    <w:p>
      <w:pPr>
        <w:ind w:firstLine="1304"/>
        <w:spacing w:after="0" w:line="251" w:lineRule="auto"/>
        <w:tabs>
          <w:tab w:leader="none" w:pos="1854" w:val="left"/>
        </w:tabs>
        <w:numPr>
          <w:ilvl w:val="0"/>
          <w:numId w:val="90"/>
        </w:numPr>
        <w:rPr>
          <w:rFonts w:ascii="Arial" w:cs="Arial" w:eastAsia="Arial" w:hAnsi="Arial"/>
          <w:sz w:val="22"/>
          <w:szCs w:val="22"/>
          <w:color w:val="auto"/>
        </w:rPr>
      </w:pPr>
      <w:r>
        <w:rPr>
          <w:rFonts w:ascii="Arial" w:cs="Arial" w:eastAsia="Arial" w:hAnsi="Arial"/>
          <w:sz w:val="22"/>
          <w:szCs w:val="22"/>
          <w:color w:val="auto"/>
        </w:rPr>
        <w:t>Employee further agrees that he will not improperly use or disclose any Confidential Information or trade secrets, if any, of any former employers of Employee or any other person to whom Employee has an obligation of confidentiality, and will not bring onto the premises of the Company or its affiliates any unpublished documents or any property belonging to any such former employer or other person to whom Employee has an obligation of confidentiality unless consented to in writing by the former employer or such other person.</w:t>
      </w:r>
    </w:p>
    <w:p>
      <w:pPr>
        <w:spacing w:after="0" w:line="189" w:lineRule="exact"/>
        <w:rPr>
          <w:sz w:val="20"/>
          <w:szCs w:val="20"/>
          <w:color w:val="auto"/>
        </w:rPr>
      </w:pPr>
    </w:p>
    <w:p>
      <w:pPr>
        <w:ind w:firstLine="1304"/>
        <w:spacing w:after="0" w:line="284" w:lineRule="auto"/>
        <w:tabs>
          <w:tab w:leader="none" w:pos="1782"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xml:space="preserve"> Employee agrees that Employee will not, during the Term and during the Non-Compete Period, within the Restricted Area, directly or indirectly (whether or not for compensation) become employed by, engage in business with, serve as an agent or consultant to, become an employee, partner, member, principal, stockholder or other owner (other than a holder of less than 1% of the outstanding voting shares of any publicly held company) of, any Competitive Business. Nor shall Employee, during the Term and during the Non-Compete Period, within the Restricted Area, otherwise compete with, or perform services relating to the business of, any of the Company Entities for any business other than a Company Entity, in any business in which the Company Entities participate, or businesses they are actively considering, at the time of termination of Employee’s employment or during the one year prior to such termination (the “</w:t>
      </w:r>
      <w:r>
        <w:rPr>
          <w:rFonts w:ascii="Arial" w:cs="Arial" w:eastAsia="Arial" w:hAnsi="Arial"/>
          <w:sz w:val="19"/>
          <w:szCs w:val="19"/>
          <w:u w:val="single" w:color="auto"/>
          <w:color w:val="auto"/>
        </w:rPr>
        <w:t>Business</w:t>
      </w:r>
      <w:r>
        <w:rPr>
          <w:rFonts w:ascii="Arial" w:cs="Arial" w:eastAsia="Arial" w:hAnsi="Arial"/>
          <w:sz w:val="19"/>
          <w:szCs w:val="19"/>
          <w:color w:val="auto"/>
        </w:rPr>
        <w:t>”). For purposes of this Agreement, “</w:t>
      </w:r>
      <w:r>
        <w:rPr>
          <w:rFonts w:ascii="Arial" w:cs="Arial" w:eastAsia="Arial" w:hAnsi="Arial"/>
          <w:sz w:val="19"/>
          <w:szCs w:val="19"/>
          <w:u w:val="single" w:color="auto"/>
          <w:color w:val="auto"/>
        </w:rPr>
        <w:t>Competitive Business</w:t>
      </w:r>
      <w:r>
        <w:rPr>
          <w:rFonts w:ascii="Arial" w:cs="Arial" w:eastAsia="Arial" w:hAnsi="Arial"/>
          <w:sz w:val="19"/>
          <w:szCs w:val="19"/>
          <w:color w:val="auto"/>
        </w:rPr>
        <w:t>” shall mean any individual, employeeship, corporation, limited liability company, partnership, unincorporated organization, trust, joint venture or other entity (i) that engages in or may engage in acquisition related or mergers and acquisition activities related to the transportation or third-party logistics industry, including, without limitation, researching, analyzing and evaluating companies for possible investment in or acquisition of, for itself or clients, (ii) that engages in or may engage in transportation or logistics services, including asset-based, asset-light or non-asset, supply chain services, including only by way of illustration, freight brokerage or freight transportation, freight management, freight forwarding, expediting, internet load boards, last-mile delivery logistics, contract logistics or intermodal providers, or firms such as Amazon, CH Robinson, Expeditors International of Washington, Inc., Echo Global Logistics Inc., Total Quality Logistics, TransCor, DHL, FedEx Corporation, United Parcel Service, Inc., J.B. Hunt Transport Services, Inc., Kühne + Nagel International AG, syncreon, Neovia Logistics, Hub Group Inc., TPG and its affiliate investment companies, Uber, and Walmart Inc., or (iii) that otherwise competes with the Company Entities anywhere in which the Company Entities engage in or intend to engage in the Business or where any of the Company Entities’ customers are located. For the avoidance of doubt, it shall be a violation of this Section 8(b) for Employee to provide any services whatsoever to any private equity firm, hedge fund or similar firm or fund that invests in a company engaged in any Competitive Business, any investment bank or similar firm that advises companies engaged in any Competitive Business or any business intelligence or similar research or consulting organization that services private equity firms, hedge funds or similar firms or funds that invest in companies engaged in any Competitive Business (such as the Third Bridge Group, the Gerson Lehrman Group, Alphasights and Coleman Research), in each case in the Restricted Area during the Term or the Restricted Period. “</w:t>
      </w:r>
      <w:r>
        <w:rPr>
          <w:rFonts w:ascii="Arial" w:cs="Arial" w:eastAsia="Arial" w:hAnsi="Arial"/>
          <w:sz w:val="19"/>
          <w:szCs w:val="19"/>
          <w:u w:val="single" w:color="auto"/>
          <w:color w:val="auto"/>
        </w:rPr>
        <w:t>Restricted Area</w:t>
      </w:r>
      <w:r>
        <w:rPr>
          <w:rFonts w:ascii="Arial" w:cs="Arial" w:eastAsia="Arial" w:hAnsi="Arial"/>
          <w:sz w:val="19"/>
          <w:szCs w:val="19"/>
          <w:color w:val="auto"/>
        </w:rPr>
        <w:t>” means Canada, Mexico, France, United Kingdom, Netherlands, Spain, Italy, and any State of the United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604" w:right="359" w:bottom="1440" w:gutter="0" w:footer="0" w:header="0"/>
        </w:sectPr>
      </w:pPr>
    </w:p>
    <w:bookmarkStart w:id="93" w:name="page94"/>
    <w:bookmarkEnd w:id="93"/>
    <w:p>
      <w:pPr>
        <w:ind w:right="140"/>
        <w:spacing w:after="0" w:line="250" w:lineRule="auto"/>
        <w:rPr>
          <w:sz w:val="20"/>
          <w:szCs w:val="20"/>
          <w:color w:val="auto"/>
        </w:rPr>
      </w:pPr>
      <w:r>
        <w:rPr>
          <w:rFonts w:ascii="Arial" w:cs="Arial" w:eastAsia="Arial" w:hAnsi="Arial"/>
          <w:sz w:val="22"/>
          <w:szCs w:val="22"/>
          <w:color w:val="auto"/>
        </w:rPr>
        <w:t>States and any other country in which the Company or any Company Entity does business or any other country in which any Company client is located during the Term or the Restricted Period. “</w:t>
      </w:r>
      <w:r>
        <w:rPr>
          <w:rFonts w:ascii="Arial" w:cs="Arial" w:eastAsia="Arial" w:hAnsi="Arial"/>
          <w:sz w:val="22"/>
          <w:szCs w:val="22"/>
          <w:u w:val="single" w:color="auto"/>
          <w:color w:val="auto"/>
        </w:rPr>
        <w:t>Non-Compete Period</w:t>
      </w:r>
      <w:r>
        <w:rPr>
          <w:rFonts w:ascii="Arial" w:cs="Arial" w:eastAsia="Arial" w:hAnsi="Arial"/>
          <w:sz w:val="22"/>
          <w:szCs w:val="22"/>
          <w:color w:val="auto"/>
        </w:rPr>
        <w:t>” shall mean, subject to Section 8(c) below, two years following termination of Employee’s employment for any reason and, for the avoidance of doubt, regardless of whether such termination is before, upon or after expiration of the Term.</w:t>
      </w:r>
    </w:p>
    <w:p>
      <w:pPr>
        <w:spacing w:after="0" w:line="188" w:lineRule="exact"/>
        <w:rPr>
          <w:sz w:val="20"/>
          <w:szCs w:val="20"/>
          <w:color w:val="auto"/>
        </w:rPr>
      </w:pPr>
    </w:p>
    <w:p>
      <w:pPr>
        <w:ind w:right="100" w:firstLine="1304"/>
        <w:spacing w:after="0" w:line="286" w:lineRule="auto"/>
        <w:tabs>
          <w:tab w:leader="none" w:pos="1770"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Extended Non-Competition.</w:t>
      </w:r>
      <w:r>
        <w:rPr>
          <w:rFonts w:ascii="Arial" w:cs="Arial" w:eastAsia="Arial" w:hAnsi="Arial"/>
          <w:sz w:val="19"/>
          <w:szCs w:val="19"/>
          <w:color w:val="auto"/>
        </w:rPr>
        <w:t xml:space="preserve"> The Company shall have the right to extend the Non-Compete Period for up to an additional 12-month period (the “</w:t>
      </w:r>
      <w:r>
        <w:rPr>
          <w:rFonts w:ascii="Arial" w:cs="Arial" w:eastAsia="Arial" w:hAnsi="Arial"/>
          <w:sz w:val="19"/>
          <w:szCs w:val="19"/>
          <w:u w:val="single" w:color="auto"/>
          <w:color w:val="auto"/>
        </w:rPr>
        <w:t>Extended Non-Compete Period</w:t>
      </w:r>
      <w:r>
        <w:rPr>
          <w:rFonts w:ascii="Arial" w:cs="Arial" w:eastAsia="Arial" w:hAnsi="Arial"/>
          <w:sz w:val="19"/>
          <w:szCs w:val="19"/>
          <w:color w:val="auto"/>
        </w:rPr>
        <w:t>”) beyond the completion of the Non-Compete Period. If the Company elects to extend the Non-Compete Period, it will notify Employee in writing of such fact not later than the 90th day prior to the expiration of the Non-Compete Period. By signing this Agreement, Employee agrees to accept and abide by the Company’s election. If the Company elects to extend the Non-Compete Period, Employee agrees that, during the Extended Non-Compete Period, Employee shall be bound by the restrictions set forth in Section 8(b) in the same manner applicable during the Non-Compete Period, and the Company agrees to pay Employee subject to Section 6(e) of this Agreement during each month of the Extended Non-Compete Period, in an amount equal to his monthly Base Salary as in effect on the Date of Termination. Payment for any partial month will be prorated. Payment of Employee’s Base Salary during the Extended Non-Compete Period will be made pursuant to the Company’s normal and customary payroll procedures. If the Company elects to extend the Non-Compete Period, any monies Employee earns from any other work during such periods, whether as an employee or as an independent contractor, will reduce, dollar for dollar, the amount that the Company is obligated to pay Employee under this Section 8(c). Payments made by the Company under this Section 8(c) are made solely for the extension of the non-compete covenant and do not render Employee either an employee of, or a consultant to, the Company. Notwithstanding any provision of this Agreement to the contrary, the right of the Company to extend the Non-Compete Period hereunder and any related payment of Base Salary for the Extended Non-Compete Period hereunder shall lapse upon a Change of Control.</w:t>
      </w:r>
    </w:p>
    <w:p>
      <w:pPr>
        <w:spacing w:after="0" w:line="167" w:lineRule="exact"/>
        <w:rPr>
          <w:rFonts w:ascii="Arial" w:cs="Arial" w:eastAsia="Arial" w:hAnsi="Arial"/>
          <w:sz w:val="19"/>
          <w:szCs w:val="19"/>
          <w:color w:val="auto"/>
        </w:rPr>
      </w:pPr>
    </w:p>
    <w:p>
      <w:pPr>
        <w:ind w:firstLine="1304"/>
        <w:spacing w:after="0" w:line="248" w:lineRule="auto"/>
        <w:tabs>
          <w:tab w:leader="none" w:pos="1782"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Competitive Opportunity.</w:t>
      </w:r>
      <w:r>
        <w:rPr>
          <w:rFonts w:ascii="Arial" w:cs="Arial" w:eastAsia="Arial" w:hAnsi="Arial"/>
          <w:sz w:val="22"/>
          <w:szCs w:val="22"/>
          <w:color w:val="auto"/>
        </w:rPr>
        <w:t xml:space="preserve"> If, at any time during the Term, Employee (i) acquires knowledge of a potential investment, investment opportunity or business venture which may be an appropriate investment by the Company, or in which the Company could otherwise have an interest or expectancy (a “</w:t>
      </w:r>
      <w:r>
        <w:rPr>
          <w:rFonts w:ascii="Arial" w:cs="Arial" w:eastAsia="Arial" w:hAnsi="Arial"/>
          <w:sz w:val="22"/>
          <w:szCs w:val="22"/>
          <w:u w:val="single" w:color="auto"/>
          <w:color w:val="auto"/>
        </w:rPr>
        <w:t>Competitive Opportunity</w:t>
      </w:r>
      <w:r>
        <w:rPr>
          <w:rFonts w:ascii="Arial" w:cs="Arial" w:eastAsia="Arial" w:hAnsi="Arial"/>
          <w:sz w:val="22"/>
          <w:szCs w:val="22"/>
          <w:color w:val="auto"/>
        </w:rPr>
        <w:t>”), or (ii) otherwise is then exploiting any Competitive Opportunity, Employee shall promptly bring such Competitive Opportunity to the Company. In such event, Employee shall not have the right to hold any such Competitive Opportunity for his (and his agents’, employees’ or affiliates’) own account and benefit or to recommend, assign or otherwise transfer or deal in such Competitive Opportunity with persons other than the Company.</w:t>
      </w:r>
    </w:p>
    <w:p>
      <w:pPr>
        <w:spacing w:after="0" w:line="195" w:lineRule="exact"/>
        <w:rPr>
          <w:rFonts w:ascii="Arial" w:cs="Arial" w:eastAsia="Arial" w:hAnsi="Arial"/>
          <w:sz w:val="22"/>
          <w:szCs w:val="22"/>
          <w:color w:val="auto"/>
        </w:rPr>
      </w:pPr>
    </w:p>
    <w:p>
      <w:pPr>
        <w:ind w:right="20" w:firstLine="1304"/>
        <w:spacing w:after="0" w:line="249" w:lineRule="auto"/>
        <w:tabs>
          <w:tab w:leader="none" w:pos="177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Return of Company Property.</w:t>
      </w:r>
      <w:r>
        <w:rPr>
          <w:rFonts w:ascii="Arial" w:cs="Arial" w:eastAsia="Arial" w:hAnsi="Arial"/>
          <w:sz w:val="22"/>
          <w:szCs w:val="22"/>
          <w:color w:val="auto"/>
        </w:rPr>
        <w:t xml:space="preserve"> All documents, data, recordings, or other property, including, without limitation, smartphones, computers and other business equipment, whether tangible or intangible, including all information stored in electronic form, obtained or prepared by or for Employee and utilized by Employee in the course of his employment with the Company shall remain the exclusive property of the Company and Employee shall return all copies of such property upon any termination of his employment and as otherwise requested by the Company during the Term. Employee further agrees not to alter, delete or destroy any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604" w:right="339" w:bottom="1440" w:gutter="0" w:footer="0" w:header="0"/>
        </w:sectPr>
      </w:pPr>
    </w:p>
    <w:bookmarkStart w:id="94" w:name="page95"/>
    <w:bookmarkEnd w:id="94"/>
    <w:p>
      <w:pPr>
        <w:ind w:right="40"/>
        <w:spacing w:after="0" w:line="253" w:lineRule="auto"/>
        <w:rPr>
          <w:sz w:val="20"/>
          <w:szCs w:val="20"/>
          <w:color w:val="auto"/>
        </w:rPr>
      </w:pPr>
      <w:r>
        <w:rPr>
          <w:rFonts w:ascii="Arial" w:cs="Arial" w:eastAsia="Arial" w:hAnsi="Arial"/>
          <w:sz w:val="22"/>
          <w:szCs w:val="22"/>
          <w:color w:val="auto"/>
        </w:rPr>
        <w:t>Company property, documents, records, data contained in any location, including but not limited to any information contained on any Company-provided computer or electronic device. Such devices shall not be wiped, scrubbed, or reset to original factory condition prior to surrender.</w:t>
      </w:r>
    </w:p>
    <w:p>
      <w:pPr>
        <w:spacing w:after="0" w:line="185" w:lineRule="exact"/>
        <w:rPr>
          <w:sz w:val="20"/>
          <w:szCs w:val="20"/>
          <w:color w:val="auto"/>
        </w:rPr>
      </w:pPr>
    </w:p>
    <w:p>
      <w:pPr>
        <w:ind w:firstLine="1304"/>
        <w:spacing w:after="0" w:line="291" w:lineRule="auto"/>
        <w:tabs>
          <w:tab w:leader="none" w:pos="1746"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xml:space="preserve"> Employee hereby agrees not to defame or disparage any of the Company Entities or any of their respective officers, directors, members, partners or employees (collectively, the “</w:t>
      </w:r>
      <w:r>
        <w:rPr>
          <w:rFonts w:ascii="Arial" w:cs="Arial" w:eastAsia="Arial" w:hAnsi="Arial"/>
          <w:sz w:val="19"/>
          <w:szCs w:val="19"/>
          <w:u w:val="single" w:color="auto"/>
          <w:color w:val="auto"/>
        </w:rPr>
        <w:t>Company Parties</w:t>
      </w:r>
      <w:r>
        <w:rPr>
          <w:rFonts w:ascii="Arial" w:cs="Arial" w:eastAsia="Arial" w:hAnsi="Arial"/>
          <w:sz w:val="19"/>
          <w:szCs w:val="19"/>
          <w:color w:val="auto"/>
        </w:rPr>
        <w:t xml:space="preserve">”), and to cooperate with the Company upon reasonable request, in refuting any defamatory or disparaging remarks by any third party made in respect of any of the Company Parties. Employee shall not, directly or indirectly, make (or cause to be made) any comment or statement, oral or written, including, without limitation, in the media or to the press or to any individual or entity, that could reasonably be expected to adversely affect the reputation of any of the Company Parties or the conduct of its, his or their business. The Company shall request that its directors and executive officers not defame or disparage Employee;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failure of any director, executive officer or employee of the Company to comply with such request shall in no way constitute a breach or violation of the Company’s obligations hereunder or otherwise subject the Company to any liability.</w:t>
      </w:r>
    </w:p>
    <w:p>
      <w:pPr>
        <w:spacing w:after="0" w:line="153" w:lineRule="exact"/>
        <w:rPr>
          <w:rFonts w:ascii="Arial" w:cs="Arial" w:eastAsia="Arial" w:hAnsi="Arial"/>
          <w:sz w:val="19"/>
          <w:szCs w:val="19"/>
          <w:color w:val="auto"/>
        </w:rPr>
      </w:pPr>
    </w:p>
    <w:p>
      <w:pPr>
        <w:ind w:right="100" w:firstLine="1304"/>
        <w:spacing w:after="0" w:line="290" w:lineRule="auto"/>
        <w:tabs>
          <w:tab w:leader="none" w:pos="1782"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xml:space="preserve"> During the Term and thereafter (including, without limitation, following the Date of Termination), Employee shall, upon reasonable notice and without the necessity of any Company Entity obtaining a subpoena or court order, provide Employee’s reasonable cooperation in connection with any suit, action or proceeding (or any appeal from any suit, action or proceeding), and any investigation and/or defense of any claims asserted against any Company Entity that relates to events occurring during Employee’s employment with any Company Entity as to which Employee may have relevant information (including furnishing relevant information and materials to the relevant Company Entity or its designee and/or providing testimony at depositions and at trial), provided that the Company shall reimburse Employee for expenses reasonably incurred in connection with any such cooperation occurring after the termination of Employee’s employment and provided that any such cooperation occurring after the Date of Termination shall be scheduled to the extent reasonably practicable so as not to unreasonably interfere with Employee’s business or personal affairs.</w:t>
      </w:r>
    </w:p>
    <w:p>
      <w:pPr>
        <w:spacing w:after="0" w:line="154" w:lineRule="exact"/>
        <w:rPr>
          <w:sz w:val="20"/>
          <w:szCs w:val="20"/>
          <w:color w:val="auto"/>
        </w:rPr>
      </w:pPr>
    </w:p>
    <w:p>
      <w:pPr>
        <w:ind w:firstLine="1304"/>
        <w:spacing w:after="0" w:line="270" w:lineRule="auto"/>
        <w:tabs>
          <w:tab w:leader="none" w:pos="1692"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Notification of Subsequent Employer.</w:t>
      </w:r>
      <w:r>
        <w:rPr>
          <w:rFonts w:ascii="Arial" w:cs="Arial" w:eastAsia="Arial" w:hAnsi="Arial"/>
          <w:sz w:val="21"/>
          <w:szCs w:val="21"/>
          <w:color w:val="auto"/>
        </w:rPr>
        <w:t xml:space="preserve"> Employee hereby agrees that, prior to accepting employment with any other person during any period during which Employee remains subject to any of the covenants set forth in Section 7, 8(b) or 8(c) of this Agreement, Employee shall provide such prospective employer with written notice of such provisions of this Agreement, with a copy of such notice delivered simultaneously to the Company.</w:t>
      </w:r>
    </w:p>
    <w:p>
      <w:pPr>
        <w:spacing w:after="0" w:line="168" w:lineRule="exact"/>
        <w:rPr>
          <w:rFonts w:ascii="Arial" w:cs="Arial" w:eastAsia="Arial" w:hAnsi="Arial"/>
          <w:sz w:val="21"/>
          <w:szCs w:val="21"/>
          <w:color w:val="auto"/>
        </w:rPr>
      </w:pPr>
    </w:p>
    <w:p>
      <w:pPr>
        <w:ind w:right="40" w:firstLine="1304"/>
        <w:spacing w:after="0" w:line="249" w:lineRule="auto"/>
        <w:tabs>
          <w:tab w:leader="none" w:pos="180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Injunctive Relief.</w:t>
      </w:r>
      <w:r>
        <w:rPr>
          <w:rFonts w:ascii="Arial" w:cs="Arial" w:eastAsia="Arial" w:hAnsi="Arial"/>
          <w:sz w:val="22"/>
          <w:szCs w:val="22"/>
          <w:color w:val="auto"/>
        </w:rPr>
        <w:t xml:space="preserve"> Employee and the Company agree that Employee will occupy a high-level and unique position of trust and confidence with the Company Entities and will have access to their Confidential Information, and that the Company would likely suffer significant harm to its protectable confidential information and business goodwill from Employee’s breach of any of the covenants set forth in Sections 7 and 8. Employee acknowledges that it is impossible to measure in money the damages that will accrue to the Company Parties in the event that Employee breaches any of the restrictive covenants provided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20" w:top="604" w:right="359" w:bottom="1440" w:gutter="0" w:footer="0" w:header="0"/>
        </w:sectPr>
      </w:pPr>
    </w:p>
    <w:bookmarkStart w:id="95" w:name="page96"/>
    <w:bookmarkEnd w:id="95"/>
    <w:p>
      <w:pPr>
        <w:spacing w:after="0" w:line="259" w:lineRule="auto"/>
        <w:rPr>
          <w:sz w:val="20"/>
          <w:szCs w:val="20"/>
          <w:color w:val="auto"/>
        </w:rPr>
      </w:pPr>
      <w:r>
        <w:rPr>
          <w:rFonts w:ascii="Arial" w:cs="Arial" w:eastAsia="Arial" w:hAnsi="Arial"/>
          <w:sz w:val="21"/>
          <w:szCs w:val="21"/>
          <w:color w:val="auto"/>
        </w:rPr>
        <w:t>in Sections 7 and 8 of this Agreement. In the event that Employee breaches any such restrictive covenant, the Company Parties shall be entitled to an injunction restraining Employee from violating such restrictive covenant (without posting any bond). If any of the Company Parties shall institute any action or proceeding to enforce any such restrictive covenant, Employee hereby waives the claim or defense that such Company Party has an adequate remedy at law and agrees not to assert in any such action or proceeding the claim or defense that there is an adequate remedy at law. The foregoing shall not prejudice the Company’s right to require Employee to account for and pay over to the Company, and Employee hereby agrees to account for and pay over, the compensation, profits, monies, accruals or other benefits derived or received by Employee as a result of any transaction constituting a breach of any of the restrictive covenants provided in Sections 7 and 8 of this Agreement or to seek any other relief to which it may be entitled.</w:t>
      </w:r>
    </w:p>
    <w:p>
      <w:pPr>
        <w:spacing w:after="0" w:line="179" w:lineRule="exact"/>
        <w:rPr>
          <w:sz w:val="20"/>
          <w:szCs w:val="20"/>
          <w:color w:val="auto"/>
        </w:rPr>
      </w:pPr>
    </w:p>
    <w:p>
      <w:pPr>
        <w:ind w:firstLine="1304"/>
        <w:spacing w:after="0" w:line="251" w:lineRule="auto"/>
        <w:tabs>
          <w:tab w:leader="none" w:pos="1792"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xml:space="preserve"> (a)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Any notice or other communication required or permitted under this Agreement shall be effective only if it is in writing and shall be deemed to be given when delivered personally, or four days after it is mailed by registered or certified mail, postage prepaid, return receipt requested or one day after it is sent by overnight courier service via UPS or FedEx and, in each case, addressed as follows (or if it is sent through any other method agreed upon by the parties):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 to each of:</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XPO Logistics,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Five American Lane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Greenwich, CT 06831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Chief Human Resources Officer</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Employee:</w:t>
      </w:r>
    </w:p>
    <w:p>
      <w:pPr>
        <w:spacing w:after="0" w:line="220" w:lineRule="exact"/>
        <w:rPr>
          <w:sz w:val="20"/>
          <w:szCs w:val="20"/>
          <w:color w:val="auto"/>
        </w:rPr>
      </w:pPr>
    </w:p>
    <w:p>
      <w:pPr>
        <w:ind w:right="2780" w:firstLine="1296"/>
        <w:spacing w:after="0" w:line="448" w:lineRule="auto"/>
        <w:rPr>
          <w:sz w:val="20"/>
          <w:szCs w:val="20"/>
          <w:color w:val="auto"/>
        </w:rPr>
      </w:pPr>
      <w:r>
        <w:rPr>
          <w:rFonts w:ascii="Arial" w:cs="Arial" w:eastAsia="Arial" w:hAnsi="Arial"/>
          <w:sz w:val="22"/>
          <w:szCs w:val="22"/>
          <w:color w:val="auto"/>
        </w:rPr>
        <w:t>During the Term, to his principal residence as listed in the records of the Company or to such other address as any party may designate by notice to the other.</w:t>
      </w:r>
    </w:p>
    <w:p>
      <w:pPr>
        <w:spacing w:after="0" w:line="1" w:lineRule="exact"/>
        <w:rPr>
          <w:sz w:val="20"/>
          <w:szCs w:val="20"/>
          <w:color w:val="auto"/>
        </w:rPr>
      </w:pPr>
    </w:p>
    <w:p>
      <w:pPr>
        <w:ind w:right="120" w:firstLine="1304"/>
        <w:spacing w:after="0" w:line="292" w:lineRule="auto"/>
        <w:tabs>
          <w:tab w:leader="none" w:pos="1782"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This Agreement shall constitute the entire agreement and understanding among the parties hereto with respect to Employee’s employment hereunder and supersedes and is in full substitution for any and all prior understandings or agreements (whether written or oral) with respect to Employee’s employment including without limitation the Prior Agreement. The Company does not make and has not made, and Employee does not rely and has not relied on any statement, omission, representation or warranty, written or oral, of any kind or nature whatsoever, regarding the Company or the Equity Compensation, including, without limitation, its or their present, future, prospective or potential value, worth, prospects, performance, soundness, profit or loss potential, or any other matter or thing whatsoever relating to whether Employee should purchase or accept any Equity Compensation and/or the consideration therefor.</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604" w:right="359" w:bottom="1440" w:gutter="0" w:footer="0" w:header="0"/>
        </w:sectPr>
      </w:pPr>
    </w:p>
    <w:bookmarkStart w:id="96" w:name="page97"/>
    <w:bookmarkEnd w:id="96"/>
    <w:p>
      <w:pPr>
        <w:ind w:left="-20" w:firstLine="1304"/>
        <w:spacing w:after="0" w:line="289" w:lineRule="auto"/>
        <w:tabs>
          <w:tab w:leader="none" w:pos="1750"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Amendment; No Waiver.</w:t>
      </w:r>
      <w:r>
        <w:rPr>
          <w:rFonts w:ascii="Arial" w:cs="Arial" w:eastAsia="Arial" w:hAnsi="Arial"/>
          <w:sz w:val="19"/>
          <w:szCs w:val="19"/>
          <w:color w:val="auto"/>
        </w:rPr>
        <w:t xml:space="preserve"> Except as expressly set forth otherwise in this Agreement (including, without limitation, pursuant to Sections 11(l)(iv) and 11(m) of this Agreement), this Agreement may be amended only by an instrument in writing signed by the parties, and the application of any provision hereof may be waived only by an instrument in writing that specifically identifies the provision whose application is being waived and that is signed by the party against whom or which enforcement of such waiver is sought. The failure of any party at any time to insist upon strict adherence to any provision hereof shall in no way affect the full right to insist upon strict adherence at any time thereafter, nor shall the waiver by any party of a breach of any provision hereof be taken or held to be a waiver of any succeeding breach of such provision or a waiver of the provision itself or a waiver of any other provision of this Agreement. No failure or delay by either party in exercising any right or power hereunder will operate as a waiver thereof, nor will any single or partial exercise of any such right or power, or any abandonment of any steps to enforce such a right or power, preclude any other or further exercise thereof or the exercise of any other right or power. Termination of this Agreement shall not relieve any party of liability for any breach of this Agreement occurring prior to such termination.</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left="-20" w:right="100" w:firstLine="1304"/>
        <w:spacing w:after="0" w:line="254" w:lineRule="auto"/>
        <w:tabs>
          <w:tab w:leader="none" w:pos="1762"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No Construction Against Drafter.</w:t>
      </w:r>
      <w:r>
        <w:rPr>
          <w:rFonts w:ascii="Arial" w:cs="Arial" w:eastAsia="Arial" w:hAnsi="Arial"/>
          <w:sz w:val="22"/>
          <w:szCs w:val="22"/>
          <w:color w:val="auto"/>
        </w:rPr>
        <w:t xml:space="preserve"> The parties acknowledge and agree that each party has reviewed and negotiated the terms and provisions of this Agreement and has had the opportunity to contribute to its revision. Accordingly, any rule of construction to the effect that ambiguities are resolved against the drafting party shall not be employed in the interpretation of this Agreement.</w:t>
      </w:r>
    </w:p>
    <w:p>
      <w:pPr>
        <w:spacing w:after="0" w:line="184" w:lineRule="exact"/>
        <w:rPr>
          <w:rFonts w:ascii="Arial" w:cs="Arial" w:eastAsia="Arial" w:hAnsi="Arial"/>
          <w:sz w:val="22"/>
          <w:szCs w:val="22"/>
          <w:color w:val="auto"/>
        </w:rPr>
      </w:pPr>
    </w:p>
    <w:p>
      <w:pPr>
        <w:ind w:left="-20" w:right="320" w:firstLine="1304"/>
        <w:spacing w:after="0" w:line="307" w:lineRule="auto"/>
        <w:tabs>
          <w:tab w:leader="none" w:pos="1750"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Clawbacks</w:t>
      </w:r>
      <w:r>
        <w:rPr>
          <w:rFonts w:ascii="Arial" w:cs="Arial" w:eastAsia="Arial" w:hAnsi="Arial"/>
          <w:sz w:val="19"/>
          <w:szCs w:val="19"/>
          <w:color w:val="auto"/>
        </w:rPr>
        <w:t>. Employee hereby acknowledges and agrees that, notwithstanding any provision of this Agreement to the contrary, Employee will be subject to any legally mandated policy relating to the recovery of compensation, solely to the extent that the Company is required to implement such policy pursuant to applicable law, whether pursuant to the Sarbanes-Oxley Act of 2002, the Dodd-Frank Wall Street Reform and Consumer Protection Act of 2010 or otherwise.</w:t>
      </w:r>
    </w:p>
    <w:p>
      <w:pPr>
        <w:spacing w:after="0" w:line="137" w:lineRule="exact"/>
        <w:rPr>
          <w:rFonts w:ascii="Arial" w:cs="Arial" w:eastAsia="Arial" w:hAnsi="Arial"/>
          <w:sz w:val="19"/>
          <w:szCs w:val="19"/>
          <w:color w:val="auto"/>
        </w:rPr>
      </w:pPr>
    </w:p>
    <w:p>
      <w:pPr>
        <w:ind w:left="-20" w:right="80" w:firstLine="1304"/>
        <w:spacing w:after="0" w:line="259" w:lineRule="auto"/>
        <w:tabs>
          <w:tab w:leader="none" w:pos="1726"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Employee Representations and Acknowledgements.</w:t>
      </w:r>
      <w:r>
        <w:rPr>
          <w:rFonts w:ascii="Arial" w:cs="Arial" w:eastAsia="Arial" w:hAnsi="Arial"/>
          <w:sz w:val="21"/>
          <w:szCs w:val="21"/>
          <w:color w:val="auto"/>
        </w:rPr>
        <w:t xml:space="preserve"> Employee represents, warrants and covenants that as of the date that the Company and Employee have executed this Agreement as set forth on the signature page hereto: (i) he has the full right, authority and capacity to enter into this Agreement, (ii) he is ready, willing and able to perform his obligations hereunder and, to his knowledge, no reason exists that would prevent him from performing his obligations hereunder, (iii) he has provided the Company true, correct and complete copies of any agreement to which he is subject containing non-competition, non-solicitation, non-disclosure or similar restrictions or covenants in favor of any prior employer or other party, (iv) he is not bound by any agreement that conflicts with or prevents or restricts the full performance of his duties and obligations to the Company hereunder during or after the Term, (v) the execution and delivery of this Agreement shall not result in any breach or violation of, or a default under, any existing obligation, commitment or agreement to which Employee is subject and (vi) he has searched for and deleted any emails, documents or files prepared, generated, obtained or used by Employee that contain any confidential or proprietary information of a prior employer. Employee acknowledges and agrees that nothing in this Agreement shall (x) entitle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00"/>
          </w:cols>
          <w:pgMar w:left="340" w:top="604" w:right="359" w:bottom="1440" w:gutter="0" w:footer="0" w:header="0"/>
        </w:sectPr>
      </w:pPr>
    </w:p>
    <w:bookmarkStart w:id="97" w:name="page98"/>
    <w:bookmarkEnd w:id="97"/>
    <w:p>
      <w:pPr>
        <w:spacing w:after="0" w:line="285" w:lineRule="auto"/>
        <w:rPr>
          <w:sz w:val="20"/>
          <w:szCs w:val="20"/>
          <w:color w:val="auto"/>
        </w:rPr>
      </w:pPr>
      <w:r>
        <w:rPr>
          <w:rFonts w:ascii="Arial" w:cs="Arial" w:eastAsia="Arial" w:hAnsi="Arial"/>
          <w:sz w:val="19"/>
          <w:szCs w:val="19"/>
          <w:color w:val="auto"/>
        </w:rPr>
        <w:t>Employee to any compensation or other interest in respect of any activity of Jacobs Private Equity, LLC, a Delaware limited liability company (“</w:t>
      </w:r>
      <w:r>
        <w:rPr>
          <w:rFonts w:ascii="Arial" w:cs="Arial" w:eastAsia="Arial" w:hAnsi="Arial"/>
          <w:sz w:val="19"/>
          <w:szCs w:val="19"/>
          <w:u w:val="single" w:color="auto"/>
          <w:color w:val="auto"/>
        </w:rPr>
        <w:t>JPE</w:t>
      </w:r>
      <w:r>
        <w:rPr>
          <w:rFonts w:ascii="Arial" w:cs="Arial" w:eastAsia="Arial" w:hAnsi="Arial"/>
          <w:sz w:val="19"/>
          <w:szCs w:val="19"/>
          <w:color w:val="auto"/>
        </w:rPr>
        <w:t>”) or Bradley S. Jacobs other than with respect to the Company; (y) restrict or prohibit the Company, Bradley S. Jacobs or any of his affiliates from having business interests and engaging in business activities in addition to those relating to the Company; or (z) restrict the investments which the Company, Bradley S. Jacobs or JPE or any of his or its affiliates may make, regardless of whether such investment opportunity or investment may be deemed to be a Competitive Opportunity. Employee acknowledges that he has carefully read this Agreement and has given careful consideration to the restraints imposed upon Employee by this Agreement, and is in full accord as to the necessity of such restraints for the reasonable and proper protection of the Confidential Information, business strategies, employee and customer relationships and goodwill of the Company Entities now existing or to be developed in the future. Employee expressly acknowledges and agrees that each and every restraint imposed by this Agreement is reasonable with respect to subject matter, industry scope, time period and geographic area. Employee agrees to comply with each of the covenants contained in Sections 7 and 8 of this Agreement in accordance with their terms, and Employee shall not, and hereby agrees to waive and release any right or claim to, challenge the reasonableness, validity or enforceability of any of the covenants contained in Section 7 or 8 of this Agreement. Employee further acknowledges that although Employee’s compliance with the covenants contained in Sections 7 and 8 of this Agreement may prevent Employee from earning a livelihood in a business similar to the business of the Company Entities, Employee’s experience and capabilities are such that Employee has other opportunities to earn a livelihood and adequate means of support for Employee and Employee’s dependents. Employee acknowledges that the Company has advised him that it is in his best interest to consult with an attorney prior to executing this Agreement.</w:t>
      </w:r>
    </w:p>
    <w:p>
      <w:pPr>
        <w:spacing w:after="0" w:line="163" w:lineRule="exact"/>
        <w:rPr>
          <w:sz w:val="20"/>
          <w:szCs w:val="20"/>
          <w:color w:val="auto"/>
        </w:rPr>
      </w:pPr>
    </w:p>
    <w:p>
      <w:pPr>
        <w:jc w:val="both"/>
        <w:ind w:right="320" w:firstLine="1304"/>
        <w:spacing w:after="0" w:line="254" w:lineRule="auto"/>
        <w:tabs>
          <w:tab w:leader="none" w:pos="1782"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Employee’s obligations under Sections 7 and 8 of this Agreement shall remain in full force and effect for the entire period provided therein notwithstanding any termination of employment or other expiration of the Term or termination of this Agreement. The terms and conditions of Sections 6, 7, 8, 9, 10 and 11 of this Agreement shall survive the Term and termination of Employee’s employment.</w:t>
      </w:r>
    </w:p>
    <w:p>
      <w:pPr>
        <w:spacing w:after="0" w:line="184" w:lineRule="exact"/>
        <w:rPr>
          <w:rFonts w:ascii="Arial" w:cs="Arial" w:eastAsia="Arial" w:hAnsi="Arial"/>
          <w:sz w:val="22"/>
          <w:szCs w:val="22"/>
          <w:color w:val="auto"/>
        </w:rPr>
      </w:pPr>
    </w:p>
    <w:p>
      <w:pPr>
        <w:ind w:right="20" w:firstLine="1304"/>
        <w:spacing w:after="0" w:line="251" w:lineRule="auto"/>
        <w:tabs>
          <w:tab w:leader="none" w:pos="1782"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xml:space="preserve"> This Agreement is binding on and is for the benefit of the parties hereto and their respective successors, assigns, heirs, executors, administrators and other legal representatives. This Agreement is personal to Employee; and neither this Agreement nor any right or obligation hereunder may be assigned by Employee without the prior written consent of the Company (or except by will or the laws of descent and distribution), and any purported assignment in violation of this Section 11(h) shall be void.</w:t>
      </w:r>
    </w:p>
    <w:p>
      <w:pPr>
        <w:spacing w:after="0" w:line="189" w:lineRule="exact"/>
        <w:rPr>
          <w:rFonts w:ascii="Arial" w:cs="Arial" w:eastAsia="Arial" w:hAnsi="Arial"/>
          <w:sz w:val="22"/>
          <w:szCs w:val="22"/>
          <w:color w:val="auto"/>
        </w:rPr>
      </w:pPr>
    </w:p>
    <w:p>
      <w:pPr>
        <w:ind w:right="140" w:firstLine="1304"/>
        <w:spacing w:after="0" w:line="249" w:lineRule="auto"/>
        <w:tabs>
          <w:tab w:leader="none" w:pos="1734"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If any provision of this Agreement or the application thereof is held invalid, the invalidity shall not affect other provisions or applications of this Agreement which can be given effect without the invalid provisions or applications and to this end the provisions of this Agreement are declared to be severable. If any term or provision of this Agreement is invalid, illegal or incapable of being enforced by any applicable law or public policy, all other conditions and provisions of this Agreement shall nonetheless remain in full force and effect so long as the economic and legal substance of the transactions contemplated by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604" w:right="339" w:bottom="1440" w:gutter="0" w:footer="0" w:header="0"/>
        </w:sectPr>
      </w:pPr>
    </w:p>
    <w:bookmarkStart w:id="98" w:name="page99"/>
    <w:bookmarkEnd w:id="98"/>
    <w:p>
      <w:pPr>
        <w:ind w:right="40"/>
        <w:spacing w:after="0" w:line="290" w:lineRule="auto"/>
        <w:rPr>
          <w:sz w:val="20"/>
          <w:szCs w:val="20"/>
          <w:color w:val="auto"/>
        </w:rPr>
      </w:pPr>
      <w:r>
        <w:rPr>
          <w:rFonts w:ascii="Arial" w:cs="Arial" w:eastAsia="Arial" w:hAnsi="Arial"/>
          <w:sz w:val="19"/>
          <w:szCs w:val="19"/>
          <w:color w:val="auto"/>
        </w:rPr>
        <w:t xml:space="preserve">this Agreement is not affected in any manner materially adverse;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of a final, non-reviewable, non-appealable determination that any provision of Section 7 or 8 of this Agreement (whether in whole or in part) is void or constitutes an unreasonable restriction against Employee, such provision shall not be rendered void but shall be deemed to be modified to the minimum extent necessary to make such provision enforceable for the longest duration and the greatest scope as may constitute a reasonable restriction under the circumstances. Subject to the foregoing,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56" w:lineRule="exact"/>
        <w:rPr>
          <w:sz w:val="20"/>
          <w:szCs w:val="20"/>
          <w:color w:val="auto"/>
        </w:rPr>
      </w:pPr>
    </w:p>
    <w:p>
      <w:pPr>
        <w:ind w:right="20" w:firstLine="1304"/>
        <w:spacing w:after="0" w:line="254" w:lineRule="auto"/>
        <w:tabs>
          <w:tab w:leader="none" w:pos="1734"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xml:space="preserve"> The Company may withhold from any amounts payable to Employee hereunder all federal, state, city, foreign or other taxes that the Company may reasonably determine are required to be withheld pursuant to any applicable law or regulation (it being understood that Employee shall be responsible for payment of all taxes in respect of the payments and benefits provided herein).</w:t>
      </w:r>
    </w:p>
    <w:p>
      <w:pPr>
        <w:spacing w:after="0" w:line="184" w:lineRule="exact"/>
        <w:rPr>
          <w:rFonts w:ascii="Arial" w:cs="Arial" w:eastAsia="Arial" w:hAnsi="Arial"/>
          <w:sz w:val="22"/>
          <w:szCs w:val="22"/>
          <w:color w:val="auto"/>
        </w:rPr>
      </w:pPr>
    </w:p>
    <w:p>
      <w:pPr>
        <w:ind w:right="240" w:firstLine="1304"/>
        <w:spacing w:after="0" w:line="259" w:lineRule="auto"/>
        <w:tabs>
          <w:tab w:leader="none" w:pos="1782"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Cooperation Regarding Equity Compensation.</w:t>
      </w:r>
      <w:r>
        <w:rPr>
          <w:rFonts w:ascii="Arial" w:cs="Arial" w:eastAsia="Arial" w:hAnsi="Arial"/>
          <w:sz w:val="22"/>
          <w:szCs w:val="22"/>
          <w:color w:val="auto"/>
        </w:rPr>
        <w:t xml:space="preserve"> Employee expressly agrees that he shall execute such other documents as reasonably requested by the Company to effect the terms of this Agreement and the issuance of the Equity Compensation as contemplated hereunder in compliance with applicable law.</w:t>
      </w:r>
    </w:p>
    <w:p>
      <w:pPr>
        <w:spacing w:after="0" w:line="180" w:lineRule="exact"/>
        <w:rPr>
          <w:sz w:val="20"/>
          <w:szCs w:val="20"/>
          <w:color w:val="auto"/>
        </w:rPr>
      </w:pPr>
    </w:p>
    <w:p>
      <w:pPr>
        <w:ind w:right="420" w:firstLine="1296"/>
        <w:spacing w:after="0" w:line="259" w:lineRule="auto"/>
        <w:rPr>
          <w:sz w:val="20"/>
          <w:szCs w:val="20"/>
          <w:color w:val="auto"/>
        </w:rPr>
      </w:pPr>
      <w:r>
        <w:rPr>
          <w:rFonts w:ascii="Arial" w:cs="Arial" w:eastAsia="Arial" w:hAnsi="Arial"/>
          <w:sz w:val="22"/>
          <w:szCs w:val="22"/>
          <w:color w:val="auto"/>
        </w:rPr>
        <w:t xml:space="preserve">(l) </w:t>
      </w:r>
      <w:r>
        <w:rPr>
          <w:rFonts w:ascii="Arial" w:cs="Arial" w:eastAsia="Arial" w:hAnsi="Arial"/>
          <w:sz w:val="22"/>
          <w:szCs w:val="22"/>
          <w:u w:val="single" w:color="auto"/>
          <w:color w:val="auto"/>
        </w:rPr>
        <w:t>Governing Law; Arbitration; Consent to Jurisdiction; Waiver of Jury Trial.</w:t>
      </w:r>
      <w:r>
        <w:rPr>
          <w:rFonts w:ascii="Arial" w:cs="Arial" w:eastAsia="Arial" w:hAnsi="Arial"/>
          <w:sz w:val="22"/>
          <w:szCs w:val="22"/>
          <w:color w:val="auto"/>
        </w:rPr>
        <w:t xml:space="preserve"> (i) This Agreement shall be governed by and construed in accordance with its express terms, and otherwise in accordance with the laws of the State of Delaware without reference to its principles of conflicts of law.</w:t>
      </w:r>
    </w:p>
    <w:p>
      <w:pPr>
        <w:spacing w:after="0" w:line="180" w:lineRule="exact"/>
        <w:rPr>
          <w:sz w:val="20"/>
          <w:szCs w:val="20"/>
          <w:color w:val="auto"/>
        </w:rPr>
      </w:pPr>
    </w:p>
    <w:p>
      <w:pPr>
        <w:ind w:firstLine="1304"/>
        <w:spacing w:after="0" w:line="307" w:lineRule="auto"/>
        <w:tabs>
          <w:tab w:leader="none" w:pos="1794"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Any claim initiated by Employee arising out of or relating to this Agreement, or the breach thereof, or Employee’s employment, or the termination thereof, shall be resolved by binding arbitration before a single arbitrator in the State of Delaware administered by the American Arbitration Association in accordance with its Commercial Arbitration Rules, and judgment on the award rendered by the arbitrator may be entered in any court having jurisdiction thereof.</w:t>
      </w:r>
    </w:p>
    <w:p>
      <w:pPr>
        <w:spacing w:after="0" w:line="137" w:lineRule="exact"/>
        <w:rPr>
          <w:rFonts w:ascii="Arial" w:cs="Arial" w:eastAsia="Arial" w:hAnsi="Arial"/>
          <w:sz w:val="19"/>
          <w:szCs w:val="19"/>
          <w:color w:val="auto"/>
        </w:rPr>
      </w:pPr>
    </w:p>
    <w:p>
      <w:pPr>
        <w:ind w:right="20" w:firstLine="1304"/>
        <w:spacing w:after="0" w:line="254" w:lineRule="auto"/>
        <w:tabs>
          <w:tab w:leader="none" w:pos="185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Except the extent that the Company seeks injunctive relief pursuant to Section 10 of this Agreement, any claim initiated by the Company arising out of or relating to this Agreement, or the breach thereof, or Employee’s employment, or the termination thereof, shall, at the election of the Company be resolved in accordance with Section 11(l)(ii) or (iv) of this Agreement.</w:t>
      </w:r>
    </w:p>
    <w:p>
      <w:pPr>
        <w:spacing w:after="0" w:line="184" w:lineRule="exact"/>
        <w:rPr>
          <w:rFonts w:ascii="Arial" w:cs="Arial" w:eastAsia="Arial" w:hAnsi="Arial"/>
          <w:sz w:val="22"/>
          <w:szCs w:val="22"/>
          <w:color w:val="auto"/>
        </w:rPr>
      </w:pPr>
    </w:p>
    <w:p>
      <w:pPr>
        <w:ind w:right="40" w:firstLine="1304"/>
        <w:spacing w:after="0" w:line="265" w:lineRule="auto"/>
        <w:tabs>
          <w:tab w:leader="none" w:pos="1824" w:val="left"/>
        </w:tabs>
        <w:numPr>
          <w:ilvl w:val="0"/>
          <w:numId w:val="100"/>
        </w:numPr>
        <w:rPr>
          <w:rFonts w:ascii="Arial" w:cs="Arial" w:eastAsia="Arial" w:hAnsi="Arial"/>
          <w:sz w:val="21"/>
          <w:szCs w:val="21"/>
          <w:color w:val="auto"/>
        </w:rPr>
      </w:pPr>
      <w:r>
        <w:rPr>
          <w:rFonts w:ascii="Arial" w:cs="Arial" w:eastAsia="Arial" w:hAnsi="Arial"/>
          <w:sz w:val="21"/>
          <w:szCs w:val="21"/>
          <w:color w:val="auto"/>
        </w:rPr>
        <w:t xml:space="preserve">Employee hereby irrevocably submits to the jurisdiction of any state or federal court located in the State of Delaware;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nothing herein shall preclude the Company from bringing any suit, action or proceeding in any other court for the purposes of enforcing the provisions of this Section 11(l) or enforcing any judgment or award obtained by the Company. Employee waives, to the fullest extent permitted by applicable law,</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00"/>
          </w:cols>
          <w:pgMar w:left="320" w:top="604" w:right="379" w:bottom="1440" w:gutter="0" w:footer="0" w:header="0"/>
        </w:sectPr>
      </w:pPr>
    </w:p>
    <w:bookmarkStart w:id="99" w:name="page100"/>
    <w:bookmarkEnd w:id="99"/>
    <w:p>
      <w:pPr>
        <w:spacing w:after="0" w:line="290" w:lineRule="auto"/>
        <w:rPr>
          <w:sz w:val="20"/>
          <w:szCs w:val="20"/>
          <w:color w:val="auto"/>
        </w:rPr>
      </w:pPr>
      <w:r>
        <w:rPr>
          <w:rFonts w:ascii="Arial" w:cs="Arial" w:eastAsia="Arial" w:hAnsi="Arial"/>
          <w:sz w:val="19"/>
          <w:szCs w:val="19"/>
          <w:color w:val="auto"/>
        </w:rPr>
        <w:t>any objection which he now or hereafter has to personal jurisdiction or to the laying of venue of any such suit, action or proceeding brought in an applicable court described in this Section 11(l)(iv), and agrees that he shall not attempt to deny or defeat such personal jurisdiction by motion or other request for leave from any court. Employee agrees that, to the fullest extent permitted by applicable law, a final and non-appealable judgment in any suit, action or proceeding brought in any applicable court described in this Section 11(l)(iv) shall be conclusive and binding upon Employee and may be enforced in any other jurisdiction. EMPLOYEE EXPRESSLY AND KNOWINGLY WAIVES ANY RIGHT TO A JURY TRIAL IN THE EVENT THAT ANY ACTION ARISING OUT OF OR RELATING TO THIS AGREEMENT OR THE BREACH THEREOF, OR EMPLOYEE’S EMPLOYMENT, OR THE TERMINATION THEREOF, IS LITIGATED OR HEARD IN ANY COURT.</w:t>
      </w:r>
    </w:p>
    <w:p>
      <w:pPr>
        <w:spacing w:after="0" w:line="156" w:lineRule="exact"/>
        <w:rPr>
          <w:sz w:val="20"/>
          <w:szCs w:val="20"/>
          <w:color w:val="auto"/>
        </w:rPr>
      </w:pPr>
    </w:p>
    <w:p>
      <w:pPr>
        <w:ind w:right="100" w:firstLine="1304"/>
        <w:spacing w:after="0" w:line="259" w:lineRule="auto"/>
        <w:tabs>
          <w:tab w:leader="none" w:pos="1782"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prevailing party shall be entitled to recover all legal fees and costs (including reasonable attorney’s fees and the fees of experts) from the losing party in connection with any claim arising under this Agreement or Employee’s employment hereunder.</w:t>
      </w:r>
    </w:p>
    <w:p>
      <w:pPr>
        <w:spacing w:after="0" w:line="180" w:lineRule="exact"/>
        <w:rPr>
          <w:sz w:val="20"/>
          <w:szCs w:val="20"/>
          <w:color w:val="auto"/>
        </w:rPr>
      </w:pPr>
    </w:p>
    <w:p>
      <w:pPr>
        <w:jc w:val="both"/>
        <w:ind w:right="180" w:firstLine="1304"/>
        <w:spacing w:after="0" w:line="259" w:lineRule="auto"/>
        <w:tabs>
          <w:tab w:leader="none" w:pos="1842"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xml:space="preserve"> (i) It is intended that the provisions of this Agreement comply with Section 409A, and all provisions of this Agreement shall be construed and interpreted in a manner consistent with the requirements for avoiding taxes or penalties under Section 409A.</w:t>
      </w:r>
    </w:p>
    <w:p>
      <w:pPr>
        <w:spacing w:after="0" w:line="180" w:lineRule="exact"/>
        <w:rPr>
          <w:sz w:val="20"/>
          <w:szCs w:val="20"/>
          <w:color w:val="auto"/>
        </w:rPr>
      </w:pPr>
    </w:p>
    <w:p>
      <w:pPr>
        <w:ind w:right="20" w:firstLine="1304"/>
        <w:spacing w:after="0" w:line="262" w:lineRule="auto"/>
        <w:tabs>
          <w:tab w:leader="none" w:pos="1794" w:val="left"/>
        </w:tabs>
        <w:numPr>
          <w:ilvl w:val="0"/>
          <w:numId w:val="103"/>
        </w:numPr>
        <w:rPr>
          <w:rFonts w:ascii="Arial" w:cs="Arial" w:eastAsia="Arial" w:hAnsi="Arial"/>
          <w:sz w:val="21"/>
          <w:szCs w:val="21"/>
          <w:color w:val="auto"/>
        </w:rPr>
      </w:pPr>
      <w:r>
        <w:rPr>
          <w:rFonts w:ascii="Arial" w:cs="Arial" w:eastAsia="Arial" w:hAnsi="Arial"/>
          <w:sz w:val="21"/>
          <w:szCs w:val="21"/>
          <w:color w:val="auto"/>
        </w:rPr>
        <w:t>Neither Employee nor any of his creditors or beneficiaries shall have the right to subject any deferred compensation (within the meaning of Section 409A) payable under this Agreement or under any other plan, policy, arrangement or agreement of or with the Company or any of its affiliates (this Agreement and such other plans, policies, arrangements and agreements, the “</w:t>
      </w:r>
      <w:r>
        <w:rPr>
          <w:rFonts w:ascii="Arial" w:cs="Arial" w:eastAsia="Arial" w:hAnsi="Arial"/>
          <w:sz w:val="21"/>
          <w:szCs w:val="21"/>
          <w:u w:val="single" w:color="auto"/>
          <w:color w:val="auto"/>
        </w:rPr>
        <w:t>Company Plans</w:t>
      </w:r>
      <w:r>
        <w:rPr>
          <w:rFonts w:ascii="Arial" w:cs="Arial" w:eastAsia="Arial" w:hAnsi="Arial"/>
          <w:sz w:val="21"/>
          <w:szCs w:val="21"/>
          <w:color w:val="auto"/>
        </w:rPr>
        <w:t>”) to any anticipation, alienation, sale, transfer, assignment, pledge, encumbrance, attachment or garnishment. Except as permitted under Section 409A, any deferred compensation (within the meaning of Section 409A) payable to Employee or for Employee’s benefit under any Company Plan may not be reduced by, or offset against, any amount owing by Employee to the Company or any of its affiliates.</w:t>
      </w:r>
    </w:p>
    <w:p>
      <w:pPr>
        <w:spacing w:after="0" w:line="179" w:lineRule="exact"/>
        <w:rPr>
          <w:rFonts w:ascii="Arial" w:cs="Arial" w:eastAsia="Arial" w:hAnsi="Arial"/>
          <w:sz w:val="21"/>
          <w:szCs w:val="21"/>
          <w:color w:val="auto"/>
        </w:rPr>
      </w:pPr>
    </w:p>
    <w:p>
      <w:pPr>
        <w:ind w:right="140" w:firstLine="1304"/>
        <w:spacing w:after="0" w:line="259" w:lineRule="auto"/>
        <w:tabs>
          <w:tab w:leader="none" w:pos="1854" w:val="left"/>
        </w:tabs>
        <w:numPr>
          <w:ilvl w:val="0"/>
          <w:numId w:val="103"/>
        </w:numPr>
        <w:rPr>
          <w:rFonts w:ascii="Arial" w:cs="Arial" w:eastAsia="Arial" w:hAnsi="Arial"/>
          <w:sz w:val="21"/>
          <w:szCs w:val="21"/>
          <w:color w:val="auto"/>
        </w:rPr>
      </w:pPr>
      <w:r>
        <w:rPr>
          <w:rFonts w:ascii="Arial" w:cs="Arial" w:eastAsia="Arial" w:hAnsi="Arial"/>
          <w:sz w:val="21"/>
          <w:szCs w:val="21"/>
          <w:color w:val="auto"/>
        </w:rPr>
        <w:t>If, at the time of Employee’s separation from service (within the meaning of Section 409A), (i) Employee shall be a specified employee (within the meaning of Section 409A and using the identification methodology selected by the Company from time to time) and (ii) the Company shall make a good faith determination that an amount payable under a Company Plan constitutes deferred compensation (within the meaning of Section 409A) the payment of which is required to be delayed pursuant to the six-month delay rule set forth in Section 409A in order to avoid taxes or penalties under Section 409A, then the Company (or its affiliate, as applicable) shall not pay such amount on the otherwise scheduled payment date but shall instead accumulate such amount and pay it on the first business day after such six-month period. To the extent required in order to avoid accelerated taxation and/or tax penalties under Section 409A, Employee shall not be considered to have terminated employment with the Company for purposes of this Agreement and no payment shall be due to Employee under this Agreement until Employee would be considered to have incurred a “separation from service” from the Company within the meaning of Section 409A.</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20" w:top="604" w:right="359" w:bottom="1440" w:gutter="0" w:footer="0" w:header="0"/>
        </w:sectPr>
      </w:pPr>
    </w:p>
    <w:bookmarkStart w:id="100" w:name="page101"/>
    <w:bookmarkEnd w:id="100"/>
    <w:p>
      <w:pPr>
        <w:ind w:left="-40" w:right="20" w:firstLine="1304"/>
        <w:spacing w:after="0" w:line="248" w:lineRule="auto"/>
        <w:tabs>
          <w:tab w:leader="none" w:pos="180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Notwithstanding any provision of this Agreement or any Company Plan to the contrary, in light of the uncertainty with respect to the proper application of Section 409A, the Company reserves the right to make amendments to any Company Plan as the Company deems necessary or desirable to avoid the imposition of taxes or penalties under Section 409A. In any case, Employee is solely responsible and liable for the satisfaction of all taxes and penalties that may be imposed on Employee or for Employee’s account in connection with any Company Plan (including any taxes and penalties under Section 409A), and neither the Company nor any affiliate shall have any obligation to indemnify or otherwise hold Employee harmless from any or all of such taxes or penalties.</w:t>
      </w:r>
    </w:p>
    <w:p>
      <w:pPr>
        <w:spacing w:after="0" w:line="195" w:lineRule="exact"/>
        <w:rPr>
          <w:rFonts w:ascii="Arial" w:cs="Arial" w:eastAsia="Arial" w:hAnsi="Arial"/>
          <w:sz w:val="22"/>
          <w:szCs w:val="22"/>
          <w:color w:val="auto"/>
        </w:rPr>
      </w:pPr>
    </w:p>
    <w:p>
      <w:pPr>
        <w:ind w:left="-40" w:right="820" w:firstLine="1304"/>
        <w:spacing w:after="0" w:line="276" w:lineRule="auto"/>
        <w:tabs>
          <w:tab w:leader="none" w:pos="174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For purposes of Section 409A, each payment hereunder will be deemed to be a separate payment as permitted under Treasury Regulation Section 1.409A-2(b)(2)(iii).</w:t>
      </w:r>
    </w:p>
    <w:p>
      <w:pPr>
        <w:spacing w:after="0" w:line="160" w:lineRule="exact"/>
        <w:rPr>
          <w:rFonts w:ascii="Arial" w:cs="Arial" w:eastAsia="Arial" w:hAnsi="Arial"/>
          <w:sz w:val="22"/>
          <w:szCs w:val="22"/>
          <w:color w:val="auto"/>
        </w:rPr>
      </w:pPr>
    </w:p>
    <w:p>
      <w:pPr>
        <w:ind w:left="-40" w:firstLine="1304"/>
        <w:spacing w:after="0" w:line="264" w:lineRule="auto"/>
        <w:tabs>
          <w:tab w:leader="none" w:pos="1802" w:val="left"/>
        </w:tabs>
        <w:numPr>
          <w:ilvl w:val="0"/>
          <w:numId w:val="104"/>
        </w:numPr>
        <w:rPr>
          <w:rFonts w:ascii="Arial" w:cs="Arial" w:eastAsia="Arial" w:hAnsi="Arial"/>
          <w:sz w:val="21"/>
          <w:szCs w:val="21"/>
          <w:color w:val="auto"/>
        </w:rPr>
      </w:pPr>
      <w:r>
        <w:rPr>
          <w:rFonts w:ascii="Arial" w:cs="Arial" w:eastAsia="Arial" w:hAnsi="Arial"/>
          <w:sz w:val="21"/>
          <w:szCs w:val="21"/>
          <w:color w:val="auto"/>
        </w:rPr>
        <w:t>Except as specifically permitted by Section 409A, any benefits and reimbursements provided to Employee under this Agreement during any calendar year shall not affect any benefits and reimbursements to be provided to Employee under this Agreement in any other calendar year, and the right to such benefits and reimbursements cannot be liquidated or exchanged for any other benefit. Furthermore, reimbursement payments shall be made to Employee as soon as practicable following the date that the applicable expense is incurred, but in no event later than the last day of the calendar year following the calendar year in which the underlying expense is incurred.</w:t>
      </w:r>
    </w:p>
    <w:p>
      <w:pPr>
        <w:spacing w:after="0" w:line="175" w:lineRule="exact"/>
        <w:rPr>
          <w:sz w:val="20"/>
          <w:szCs w:val="20"/>
          <w:color w:val="auto"/>
        </w:rPr>
      </w:pPr>
    </w:p>
    <w:p>
      <w:pPr>
        <w:jc w:val="both"/>
        <w:ind w:left="-40" w:right="140" w:firstLine="1304"/>
        <w:spacing w:after="0" w:line="307" w:lineRule="auto"/>
        <w:tabs>
          <w:tab w:leader="none" w:pos="1742"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Section 105(h)</w:t>
      </w:r>
      <w:r>
        <w:rPr>
          <w:rFonts w:ascii="Arial" w:cs="Arial" w:eastAsia="Arial" w:hAnsi="Arial"/>
          <w:sz w:val="19"/>
          <w:szCs w:val="19"/>
          <w:color w:val="auto"/>
        </w:rPr>
        <w:t>. Notwithstanding any provision of this Agreement to the contrary, to the extent necessary to satisfy Section 105(h) of the Code, the Company will be permitted to alter the manner in which medical benefits are provided to Employee following termination of Employee’s employment, provided that the after-tax cost to Employee of such benefits shall not be greater than the cost applicable to similarly situated executives of the Company who have not terminated employment.</w:t>
      </w:r>
    </w:p>
    <w:p>
      <w:pPr>
        <w:spacing w:after="0" w:line="137" w:lineRule="exact"/>
        <w:rPr>
          <w:rFonts w:ascii="Arial" w:cs="Arial" w:eastAsia="Arial" w:hAnsi="Arial"/>
          <w:sz w:val="19"/>
          <w:szCs w:val="19"/>
          <w:color w:val="auto"/>
        </w:rPr>
      </w:pPr>
    </w:p>
    <w:p>
      <w:pPr>
        <w:ind w:left="-40" w:right="280" w:firstLine="1304"/>
        <w:spacing w:after="0" w:line="259" w:lineRule="auto"/>
        <w:tabs>
          <w:tab w:leader="none" w:pos="1742"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Agreement may be executed in several counterparts, each of which shall be deemed an original, but all of which shall constitute one and the same instrument. Signatures delivered by facsimile or electronic means (including by “pdf”) shall be deemed effective for all purposes.</w:t>
      </w:r>
    </w:p>
    <w:p>
      <w:pPr>
        <w:spacing w:after="0" w:line="180" w:lineRule="exact"/>
        <w:rPr>
          <w:rFonts w:ascii="Arial" w:cs="Arial" w:eastAsia="Arial" w:hAnsi="Arial"/>
          <w:sz w:val="22"/>
          <w:szCs w:val="22"/>
          <w:color w:val="auto"/>
        </w:rPr>
      </w:pPr>
    </w:p>
    <w:p>
      <w:pPr>
        <w:ind w:left="-40" w:right="160" w:firstLine="1304"/>
        <w:spacing w:after="0" w:line="276" w:lineRule="auto"/>
        <w:tabs>
          <w:tab w:leader="none" w:pos="1742"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xml:space="preserve"> The headings in this Agreement are inserted for convenience of reference only and shall not be a part of or control or affect the meaning of any provision hereof.</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180"/>
          </w:cols>
          <w:pgMar w:left="360" w:top="604" w:right="359" w:bottom="1440" w:gutter="0" w:footer="0" w:header="0"/>
        </w:sectPr>
      </w:pPr>
    </w:p>
    <w:bookmarkStart w:id="101" w:name="page102"/>
    <w:bookmarkEnd w:id="101"/>
    <w:p>
      <w:pPr>
        <w:ind w:left="180"/>
        <w:spacing w:after="0"/>
        <w:rPr>
          <w:sz w:val="20"/>
          <w:szCs w:val="20"/>
          <w:color w:val="auto"/>
        </w:rPr>
      </w:pPr>
      <w:r>
        <w:rPr>
          <w:rFonts w:ascii="Arial" w:cs="Arial" w:eastAsia="Arial" w:hAnsi="Arial"/>
          <w:sz w:val="19"/>
          <w:szCs w:val="19"/>
          <w:color w:val="auto"/>
        </w:rPr>
        <w:t>IN WITNESS WHEREOF, the parties hereto have executed this Agreement as of the date first written above.</w:t>
      </w:r>
    </w:p>
    <w:p>
      <w:pPr>
        <w:sectPr>
          <w:pgSz w:w="11900" w:h="16838" w:orient="portrait"/>
          <w:cols w:equalWidth="0" w:num="1">
            <w:col w:w="9640"/>
          </w:cols>
          <w:pgMar w:left="1440" w:top="604" w:right="81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XPO LOGISTICS, INC.</w:t>
      </w:r>
    </w:p>
    <w:p>
      <w:pPr>
        <w:spacing w:after="0" w:line="200" w:lineRule="exact"/>
        <w:rPr>
          <w:sz w:val="20"/>
          <w:szCs w:val="20"/>
          <w:color w:val="auto"/>
        </w:rPr>
      </w:pPr>
    </w:p>
    <w:p>
      <w:pPr>
        <w:spacing w:after="0" w:line="249"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/s/ Bradley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24130</wp:posOffset>
            </wp:positionV>
            <wp:extent cx="19030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8"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Bradley Jacobs</w:t>
      </w:r>
    </w:p>
    <w:p>
      <w:pPr>
        <w:spacing w:after="0" w:line="8" w:lineRule="exact"/>
        <w:rPr>
          <w:sz w:val="20"/>
          <w:szCs w:val="20"/>
          <w:color w:val="auto"/>
        </w:rPr>
      </w:pPr>
    </w:p>
    <w:p>
      <w:pPr>
        <w:jc w:val="right"/>
        <w:ind w:right="40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/s/ David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24130</wp:posOffset>
            </wp:positionV>
            <wp:extent cx="17399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3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David Wyshner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[Signature Page]</w:t>
      </w:r>
    </w:p>
    <w:p>
      <w:pPr>
        <w:sectPr>
          <w:pgSz w:w="11900" w:h="16838" w:orient="portrait"/>
          <w:cols w:equalWidth="0" w:num="1">
            <w:col w:w="9640"/>
          </w:cols>
          <w:pgMar w:left="1440" w:top="604" w:right="819" w:bottom="1440" w:gutter="0" w:footer="0" w:header="0"/>
          <w:type w:val="continuous"/>
        </w:sectPr>
      </w:pPr>
    </w:p>
    <w:bookmarkStart w:id="102" w:name="page103"/>
    <w:bookmarkEnd w:id="102"/>
    <w:tbl>
      <w:tblPr>
        <w:tblLayout w:type="fixed"/>
        <w:tblInd w:w="10" w:type="dxa"/>
        <w:tblCellMar>
          <w:top w:w="0" w:type="dxa"/>
          <w:left w:w="0" w:type="dxa"/>
          <w:bottom w:w="0" w:type="dxa"/>
          <w:right w:w="0" w:type="dxa"/>
        </w:tblCellMar>
      </w:tblPr>
      <w:tr>
        <w:trPr>
          <w:trHeight w:val="274"/>
        </w:trPr>
        <w:tc>
          <w:tcPr>
            <w:tcW w:w="2400" w:type="dxa"/>
            <w:vAlign w:val="bottom"/>
          </w:tcPr>
          <w:p>
            <w:pPr>
              <w:spacing w:after="0"/>
              <w:rPr>
                <w:sz w:val="23"/>
                <w:szCs w:val="23"/>
                <w:color w:val="auto"/>
              </w:rPr>
            </w:pPr>
          </w:p>
        </w:tc>
        <w:tc>
          <w:tcPr>
            <w:tcW w:w="8860" w:type="dxa"/>
            <w:vAlign w:val="bottom"/>
          </w:tcPr>
          <w:p>
            <w:pPr>
              <w:jc w:val="center"/>
              <w:ind w:right="2313"/>
              <w:spacing w:after="0"/>
              <w:rPr>
                <w:sz w:val="20"/>
                <w:szCs w:val="20"/>
                <w:color w:val="auto"/>
              </w:rPr>
            </w:pPr>
            <w:r>
              <w:rPr>
                <w:rFonts w:ascii="Arial" w:cs="Arial" w:eastAsia="Arial" w:hAnsi="Arial"/>
                <w:sz w:val="22"/>
                <w:szCs w:val="22"/>
                <w:color w:val="auto"/>
              </w:rPr>
              <w:t>EXHIBIT A</w:t>
            </w:r>
          </w:p>
        </w:tc>
      </w:tr>
      <w:tr>
        <w:trPr>
          <w:trHeight w:val="513"/>
        </w:trPr>
        <w:tc>
          <w:tcPr>
            <w:tcW w:w="2400" w:type="dxa"/>
            <w:vAlign w:val="bottom"/>
          </w:tcPr>
          <w:p>
            <w:pPr>
              <w:spacing w:after="0"/>
              <w:rPr>
                <w:sz w:val="24"/>
                <w:szCs w:val="24"/>
                <w:color w:val="auto"/>
              </w:rPr>
            </w:pPr>
          </w:p>
        </w:tc>
        <w:tc>
          <w:tcPr>
            <w:tcW w:w="8860" w:type="dxa"/>
            <w:vAlign w:val="bottom"/>
          </w:tcPr>
          <w:p>
            <w:pPr>
              <w:jc w:val="center"/>
              <w:ind w:right="2293"/>
              <w:spacing w:after="0"/>
              <w:rPr>
                <w:sz w:val="20"/>
                <w:szCs w:val="20"/>
                <w:color w:val="auto"/>
              </w:rPr>
            </w:pPr>
            <w:r>
              <w:rPr>
                <w:rFonts w:ascii="Arial" w:cs="Arial" w:eastAsia="Arial" w:hAnsi="Arial"/>
                <w:sz w:val="22"/>
                <w:szCs w:val="22"/>
                <w:color w:val="auto"/>
                <w:w w:val="85"/>
              </w:rPr>
              <w:t>Term Sheet</w:t>
            </w:r>
          </w:p>
        </w:tc>
      </w:tr>
      <w:tr>
        <w:trPr>
          <w:trHeight w:val="638"/>
        </w:trPr>
        <w:tc>
          <w:tcPr>
            <w:tcW w:w="2400" w:type="dxa"/>
            <w:vAlign w:val="bottom"/>
            <w:tcBorders>
              <w:bottom w:val="single" w:sz="8" w:color="00000A"/>
            </w:tcBorders>
          </w:tcPr>
          <w:p>
            <w:pPr>
              <w:spacing w:after="0"/>
              <w:rPr>
                <w:sz w:val="24"/>
                <w:szCs w:val="24"/>
                <w:color w:val="auto"/>
              </w:rPr>
            </w:pPr>
          </w:p>
        </w:tc>
        <w:tc>
          <w:tcPr>
            <w:tcW w:w="8860" w:type="dxa"/>
            <w:vAlign w:val="bottom"/>
            <w:tcBorders>
              <w:bottom w:val="single" w:sz="8" w:color="00000A"/>
            </w:tcBorders>
          </w:tcPr>
          <w:p>
            <w:pPr>
              <w:spacing w:after="0"/>
              <w:rPr>
                <w:sz w:val="24"/>
                <w:szCs w:val="24"/>
                <w:color w:val="auto"/>
              </w:rPr>
            </w:pPr>
          </w:p>
        </w:tc>
      </w:tr>
      <w:tr>
        <w:trPr>
          <w:trHeight w:val="273"/>
        </w:trPr>
        <w:tc>
          <w:tcPr>
            <w:tcW w:w="2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Start Date:</w:t>
            </w:r>
          </w:p>
        </w:tc>
        <w:tc>
          <w:tcPr>
            <w:tcW w:w="88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March 2, 2020</w:t>
            </w:r>
          </w:p>
        </w:tc>
      </w:tr>
      <w:tr>
        <w:trPr>
          <w:trHeight w:val="260"/>
        </w:trPr>
        <w:tc>
          <w:tcPr>
            <w:tcW w:w="2400" w:type="dxa"/>
            <w:vAlign w:val="bottom"/>
            <w:tcBorders>
              <w:left w:val="single" w:sz="8" w:color="00000A"/>
              <w:bottom w:val="single" w:sz="8" w:color="00000A"/>
              <w:right w:val="single" w:sz="8" w:color="00000A"/>
            </w:tcBorders>
          </w:tcPr>
          <w:p>
            <w:pPr>
              <w:spacing w:after="0"/>
              <w:rPr>
                <w:sz w:val="22"/>
                <w:szCs w:val="22"/>
                <w:color w:val="auto"/>
              </w:rPr>
            </w:pPr>
          </w:p>
        </w:tc>
        <w:tc>
          <w:tcPr>
            <w:tcW w:w="8860" w:type="dxa"/>
            <w:vAlign w:val="bottom"/>
            <w:tcBorders>
              <w:bottom w:val="single" w:sz="8" w:color="00000A"/>
              <w:right w:val="single" w:sz="8" w:color="00000A"/>
            </w:tcBorders>
          </w:tcPr>
          <w:p>
            <w:pPr>
              <w:spacing w:after="0"/>
              <w:rPr>
                <w:sz w:val="22"/>
                <w:szCs w:val="22"/>
                <w:color w:val="auto"/>
              </w:rPr>
            </w:pPr>
          </w:p>
        </w:tc>
      </w:tr>
      <w:tr>
        <w:trPr>
          <w:trHeight w:val="273"/>
        </w:trPr>
        <w:tc>
          <w:tcPr>
            <w:tcW w:w="2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Employee:</w:t>
            </w:r>
          </w:p>
        </w:tc>
        <w:tc>
          <w:tcPr>
            <w:tcW w:w="88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David Wyshner</w:t>
            </w:r>
          </w:p>
        </w:tc>
      </w:tr>
      <w:tr>
        <w:trPr>
          <w:trHeight w:val="260"/>
        </w:trPr>
        <w:tc>
          <w:tcPr>
            <w:tcW w:w="2400" w:type="dxa"/>
            <w:vAlign w:val="bottom"/>
            <w:tcBorders>
              <w:left w:val="single" w:sz="8" w:color="00000A"/>
              <w:bottom w:val="single" w:sz="8" w:color="00000A"/>
              <w:right w:val="single" w:sz="8" w:color="00000A"/>
            </w:tcBorders>
          </w:tcPr>
          <w:p>
            <w:pPr>
              <w:spacing w:after="0"/>
              <w:rPr>
                <w:sz w:val="22"/>
                <w:szCs w:val="22"/>
                <w:color w:val="auto"/>
              </w:rPr>
            </w:pPr>
          </w:p>
        </w:tc>
        <w:tc>
          <w:tcPr>
            <w:tcW w:w="8860" w:type="dxa"/>
            <w:vAlign w:val="bottom"/>
            <w:tcBorders>
              <w:bottom w:val="single" w:sz="8" w:color="00000A"/>
              <w:right w:val="single" w:sz="8" w:color="00000A"/>
            </w:tcBorders>
          </w:tcPr>
          <w:p>
            <w:pPr>
              <w:spacing w:after="0"/>
              <w:rPr>
                <w:sz w:val="22"/>
                <w:szCs w:val="22"/>
                <w:color w:val="auto"/>
              </w:rPr>
            </w:pPr>
          </w:p>
        </w:tc>
      </w:tr>
      <w:tr>
        <w:trPr>
          <w:trHeight w:val="284"/>
        </w:trPr>
        <w:tc>
          <w:tcPr>
            <w:tcW w:w="24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Position</w:t>
            </w:r>
          </w:p>
        </w:tc>
        <w:tc>
          <w:tcPr>
            <w:tcW w:w="88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Chief Financial Officer</w:t>
            </w:r>
          </w:p>
        </w:tc>
      </w:tr>
      <w:tr>
        <w:trPr>
          <w:trHeight w:val="280"/>
        </w:trPr>
        <w:tc>
          <w:tcPr>
            <w:tcW w:w="2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Reporting Person:</w:t>
            </w:r>
          </w:p>
        </w:tc>
        <w:tc>
          <w:tcPr>
            <w:tcW w:w="88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Chief Executive Officer, Brad Jacobs</w:t>
            </w:r>
          </w:p>
        </w:tc>
      </w:tr>
      <w:tr>
        <w:trPr>
          <w:trHeight w:val="260"/>
        </w:trPr>
        <w:tc>
          <w:tcPr>
            <w:tcW w:w="2400" w:type="dxa"/>
            <w:vAlign w:val="bottom"/>
            <w:tcBorders>
              <w:left w:val="single" w:sz="8" w:color="00000A"/>
              <w:bottom w:val="single" w:sz="8" w:color="00000A"/>
              <w:right w:val="single" w:sz="8" w:color="00000A"/>
            </w:tcBorders>
          </w:tcPr>
          <w:p>
            <w:pPr>
              <w:spacing w:after="0"/>
              <w:rPr>
                <w:sz w:val="22"/>
                <w:szCs w:val="22"/>
                <w:color w:val="auto"/>
              </w:rPr>
            </w:pPr>
          </w:p>
        </w:tc>
        <w:tc>
          <w:tcPr>
            <w:tcW w:w="8860" w:type="dxa"/>
            <w:vAlign w:val="bottom"/>
            <w:tcBorders>
              <w:bottom w:val="single" w:sz="8" w:color="00000A"/>
              <w:right w:val="single" w:sz="8" w:color="00000A"/>
            </w:tcBorders>
          </w:tcPr>
          <w:p>
            <w:pPr>
              <w:spacing w:after="0"/>
              <w:rPr>
                <w:sz w:val="22"/>
                <w:szCs w:val="22"/>
                <w:color w:val="auto"/>
              </w:rPr>
            </w:pPr>
          </w:p>
        </w:tc>
      </w:tr>
      <w:tr>
        <w:trPr>
          <w:trHeight w:val="273"/>
        </w:trPr>
        <w:tc>
          <w:tcPr>
            <w:tcW w:w="2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Base Salary:</w:t>
            </w:r>
          </w:p>
        </w:tc>
        <w:tc>
          <w:tcPr>
            <w:tcW w:w="88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$635,000</w:t>
            </w:r>
          </w:p>
        </w:tc>
      </w:tr>
      <w:tr>
        <w:trPr>
          <w:trHeight w:val="260"/>
        </w:trPr>
        <w:tc>
          <w:tcPr>
            <w:tcW w:w="2400" w:type="dxa"/>
            <w:vAlign w:val="bottom"/>
            <w:tcBorders>
              <w:left w:val="single" w:sz="8" w:color="00000A"/>
              <w:bottom w:val="single" w:sz="8" w:color="00000A"/>
              <w:right w:val="single" w:sz="8" w:color="00000A"/>
            </w:tcBorders>
          </w:tcPr>
          <w:p>
            <w:pPr>
              <w:spacing w:after="0"/>
              <w:rPr>
                <w:sz w:val="22"/>
                <w:szCs w:val="22"/>
                <w:color w:val="auto"/>
              </w:rPr>
            </w:pPr>
          </w:p>
        </w:tc>
        <w:tc>
          <w:tcPr>
            <w:tcW w:w="8860" w:type="dxa"/>
            <w:vAlign w:val="bottom"/>
            <w:tcBorders>
              <w:bottom w:val="single" w:sz="8" w:color="00000A"/>
              <w:right w:val="single" w:sz="8" w:color="00000A"/>
            </w:tcBorders>
          </w:tcPr>
          <w:p>
            <w:pPr>
              <w:spacing w:after="0"/>
              <w:rPr>
                <w:sz w:val="22"/>
                <w:szCs w:val="22"/>
                <w:color w:val="auto"/>
              </w:rPr>
            </w:pPr>
          </w:p>
        </w:tc>
      </w:tr>
      <w:tr>
        <w:trPr>
          <w:trHeight w:val="273"/>
        </w:trPr>
        <w:tc>
          <w:tcPr>
            <w:tcW w:w="2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Target Bonus:</w:t>
            </w:r>
          </w:p>
        </w:tc>
        <w:tc>
          <w:tcPr>
            <w:tcW w:w="88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150% of Base Salary ($952,500)</w:t>
            </w:r>
          </w:p>
        </w:tc>
      </w:tr>
      <w:tr>
        <w:trPr>
          <w:trHeight w:val="332"/>
        </w:trPr>
        <w:tc>
          <w:tcPr>
            <w:tcW w:w="2400" w:type="dxa"/>
            <w:vAlign w:val="bottom"/>
            <w:tcBorders>
              <w:left w:val="single" w:sz="8" w:color="00000A"/>
              <w:right w:val="single" w:sz="8" w:color="00000A"/>
            </w:tcBorders>
          </w:tcPr>
          <w:p>
            <w:pPr>
              <w:spacing w:after="0"/>
              <w:rPr>
                <w:sz w:val="24"/>
                <w:szCs w:val="24"/>
                <w:color w:val="auto"/>
              </w:rPr>
            </w:pPr>
          </w:p>
        </w:tc>
        <w:tc>
          <w:tcPr>
            <w:tcW w:w="8860" w:type="dxa"/>
            <w:vAlign w:val="bottom"/>
            <w:tcBorders>
              <w:right w:val="single" w:sz="8" w:color="00000A"/>
            </w:tcBorders>
          </w:tcPr>
          <w:p>
            <w:pPr>
              <w:ind w:left="20"/>
              <w:spacing w:after="0"/>
              <w:rPr>
                <w:sz w:val="20"/>
                <w:szCs w:val="20"/>
                <w:color w:val="auto"/>
              </w:rPr>
            </w:pPr>
            <w:r>
              <w:rPr>
                <w:rFonts w:ascii="Arial" w:cs="Arial" w:eastAsia="Arial" w:hAnsi="Arial"/>
                <w:sz w:val="20"/>
                <w:szCs w:val="20"/>
                <w:i w:val="1"/>
                <w:iCs w:val="1"/>
                <w:color w:val="auto"/>
              </w:rPr>
              <w:t>Provided on a non-prorated basis for performance year 2020.</w:t>
            </w:r>
          </w:p>
        </w:tc>
      </w:tr>
      <w:tr>
        <w:trPr>
          <w:trHeight w:val="266"/>
        </w:trPr>
        <w:tc>
          <w:tcPr>
            <w:tcW w:w="2400" w:type="dxa"/>
            <w:vAlign w:val="bottom"/>
            <w:tcBorders>
              <w:left w:val="single" w:sz="8" w:color="00000A"/>
              <w:bottom w:val="single" w:sz="8" w:color="00000A"/>
              <w:right w:val="single" w:sz="8" w:color="00000A"/>
            </w:tcBorders>
          </w:tcPr>
          <w:p>
            <w:pPr>
              <w:spacing w:after="0"/>
              <w:rPr>
                <w:sz w:val="23"/>
                <w:szCs w:val="23"/>
                <w:color w:val="auto"/>
              </w:rPr>
            </w:pPr>
          </w:p>
        </w:tc>
        <w:tc>
          <w:tcPr>
            <w:tcW w:w="8860" w:type="dxa"/>
            <w:vAlign w:val="bottom"/>
            <w:tcBorders>
              <w:bottom w:val="single" w:sz="8" w:color="00000A"/>
              <w:right w:val="single" w:sz="8" w:color="00000A"/>
            </w:tcBorders>
          </w:tcPr>
          <w:p>
            <w:pPr>
              <w:spacing w:after="0"/>
              <w:rPr>
                <w:sz w:val="23"/>
                <w:szCs w:val="23"/>
                <w:color w:val="auto"/>
              </w:rPr>
            </w:pPr>
          </w:p>
        </w:tc>
      </w:tr>
      <w:tr>
        <w:trPr>
          <w:trHeight w:val="733"/>
        </w:trPr>
        <w:tc>
          <w:tcPr>
            <w:tcW w:w="2400" w:type="dxa"/>
            <w:vAlign w:val="bottom"/>
          </w:tcPr>
          <w:p>
            <w:pPr>
              <w:spacing w:after="0"/>
              <w:rPr>
                <w:sz w:val="24"/>
                <w:szCs w:val="24"/>
                <w:color w:val="auto"/>
              </w:rPr>
            </w:pPr>
          </w:p>
        </w:tc>
        <w:tc>
          <w:tcPr>
            <w:tcW w:w="8860" w:type="dxa"/>
            <w:vAlign w:val="bottom"/>
          </w:tcPr>
          <w:p>
            <w:pPr>
              <w:jc w:val="center"/>
              <w:ind w:right="2293"/>
              <w:spacing w:after="0"/>
              <w:rPr>
                <w:sz w:val="20"/>
                <w:szCs w:val="20"/>
                <w:color w:val="auto"/>
              </w:rPr>
            </w:pPr>
            <w:r>
              <w:rPr>
                <w:rFonts w:ascii="Arial" w:cs="Arial" w:eastAsia="Arial" w:hAnsi="Arial"/>
                <w:sz w:val="22"/>
                <w:szCs w:val="22"/>
                <w:color w:val="auto"/>
                <w:w w:val="99"/>
              </w:rPr>
              <w:t>A-1</w:t>
            </w:r>
          </w:p>
        </w:tc>
      </w:tr>
    </w:tbl>
    <w:p>
      <w:pPr>
        <w:sectPr>
          <w:pgSz w:w="11900" w:h="16838" w:orient="portrait"/>
          <w:cols w:equalWidth="0" w:num="1">
            <w:col w:w="11260"/>
          </w:cols>
          <w:pgMar w:left="320" w:top="861" w:right="31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22"/>
          <w:szCs w:val="22"/>
          <w:u w:val="single" w:color="auto"/>
          <w:color w:val="auto"/>
        </w:rPr>
        <w:t>EXHIBIT B</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FORM OF RSU AWARD AGREEMENT</w:t>
      </w:r>
    </w:p>
    <w:p>
      <w:pPr>
        <w:spacing w:after="0" w:line="260" w:lineRule="exact"/>
        <w:rPr>
          <w:sz w:val="20"/>
          <w:szCs w:val="20"/>
          <w:color w:val="auto"/>
        </w:rPr>
      </w:pPr>
    </w:p>
    <w:p>
      <w:pPr>
        <w:jc w:val="both"/>
        <w:ind w:left="1960" w:right="380"/>
        <w:spacing w:after="0" w:line="312" w:lineRule="auto"/>
        <w:rPr>
          <w:sz w:val="20"/>
          <w:szCs w:val="20"/>
          <w:color w:val="auto"/>
        </w:rPr>
      </w:pPr>
      <w:r>
        <w:rPr>
          <w:rFonts w:ascii="Arial" w:cs="Arial" w:eastAsia="Arial" w:hAnsi="Arial"/>
          <w:sz w:val="19"/>
          <w:szCs w:val="19"/>
          <w:color w:val="auto"/>
        </w:rPr>
        <w:t>RESTRICTED STOCK UNIT AWARD AGREEMENT UNDER THE XPO LOGISTICS, INC. 2016 OMNIBUS INCENTIVE COMPENSATION PLAN, dated as of [DATE], (the “</w:t>
      </w:r>
      <w:r>
        <w:rPr>
          <w:rFonts w:ascii="Arial" w:cs="Arial" w:eastAsia="Arial" w:hAnsi="Arial"/>
          <w:sz w:val="19"/>
          <w:szCs w:val="19"/>
          <w:u w:val="single" w:color="auto"/>
          <w:color w:val="auto"/>
        </w:rPr>
        <w:t>Grant Date</w:t>
      </w:r>
      <w:r>
        <w:rPr>
          <w:rFonts w:ascii="Arial" w:cs="Arial" w:eastAsia="Arial" w:hAnsi="Arial"/>
          <w:sz w:val="19"/>
          <w:szCs w:val="19"/>
          <w:color w:val="auto"/>
        </w:rPr>
        <w:t>”), between XPO LOGISTICS,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David Wyshner.</w:t>
      </w:r>
    </w:p>
    <w:p>
      <w:pPr>
        <w:spacing w:after="0" w:line="133" w:lineRule="exact"/>
        <w:rPr>
          <w:sz w:val="20"/>
          <w:szCs w:val="20"/>
          <w:color w:val="auto"/>
        </w:rPr>
      </w:pPr>
    </w:p>
    <w:p>
      <w:pPr>
        <w:ind w:right="140" w:firstLine="1296"/>
        <w:spacing w:after="0" w:line="294" w:lineRule="auto"/>
        <w:rPr>
          <w:sz w:val="20"/>
          <w:szCs w:val="20"/>
          <w:color w:val="auto"/>
        </w:rPr>
      </w:pPr>
      <w:r>
        <w:rPr>
          <w:rFonts w:ascii="Arial" w:cs="Arial" w:eastAsia="Arial" w:hAnsi="Arial"/>
          <w:sz w:val="19"/>
          <w:szCs w:val="19"/>
          <w:color w:val="auto"/>
        </w:rPr>
        <w:t>This Restricted Stock Unit Award Agreement (this “</w:t>
      </w:r>
      <w:r>
        <w:rPr>
          <w:rFonts w:ascii="Arial" w:cs="Arial" w:eastAsia="Arial" w:hAnsi="Arial"/>
          <w:sz w:val="19"/>
          <w:szCs w:val="19"/>
          <w:u w:val="single" w:color="auto"/>
          <w:color w:val="auto"/>
        </w:rPr>
        <w:t>Award Agreement</w:t>
      </w:r>
      <w:r>
        <w:rPr>
          <w:rFonts w:ascii="Arial" w:cs="Arial" w:eastAsia="Arial" w:hAnsi="Arial"/>
          <w:sz w:val="19"/>
          <w:szCs w:val="19"/>
          <w:color w:val="auto"/>
        </w:rPr>
        <w:t>”) sets forth the terms and conditions of an award of an award of restricted stock units with respect to a number of shares of the Company’s Common Stock, $0.001 par value (each, a “</w:t>
      </w:r>
      <w:r>
        <w:rPr>
          <w:rFonts w:ascii="Arial" w:cs="Arial" w:eastAsia="Arial" w:hAnsi="Arial"/>
          <w:sz w:val="19"/>
          <w:szCs w:val="19"/>
          <w:u w:val="single" w:color="auto"/>
          <w:color w:val="auto"/>
        </w:rPr>
        <w:t>Share</w:t>
      </w:r>
      <w:r>
        <w:rPr>
          <w:rFonts w:ascii="Arial" w:cs="Arial" w:eastAsia="Arial" w:hAnsi="Arial"/>
          <w:sz w:val="19"/>
          <w:szCs w:val="19"/>
          <w:color w:val="auto"/>
        </w:rPr>
        <w:t>”) set forth on Exhibit A (this “</w:t>
      </w:r>
      <w:r>
        <w:rPr>
          <w:rFonts w:ascii="Arial" w:cs="Arial" w:eastAsia="Arial" w:hAnsi="Arial"/>
          <w:sz w:val="19"/>
          <w:szCs w:val="19"/>
          <w:u w:val="single" w:color="auto"/>
          <w:color w:val="auto"/>
        </w:rPr>
        <w:t>Award</w:t>
      </w:r>
      <w:r>
        <w:rPr>
          <w:rFonts w:ascii="Arial" w:cs="Arial" w:eastAsia="Arial" w:hAnsi="Arial"/>
          <w:sz w:val="19"/>
          <w:szCs w:val="19"/>
          <w:color w:val="auto"/>
        </w:rPr>
        <w:t>”) that are subject to the terms and conditions specified herein (each such restricted stock unit, an “</w:t>
      </w:r>
      <w:r>
        <w:rPr>
          <w:rFonts w:ascii="Arial" w:cs="Arial" w:eastAsia="Arial" w:hAnsi="Arial"/>
          <w:sz w:val="19"/>
          <w:szCs w:val="19"/>
          <w:u w:val="single" w:color="auto"/>
          <w:color w:val="auto"/>
        </w:rPr>
        <w:t>RSU</w:t>
      </w:r>
      <w:r>
        <w:rPr>
          <w:rFonts w:ascii="Arial" w:cs="Arial" w:eastAsia="Arial" w:hAnsi="Arial"/>
          <w:sz w:val="19"/>
          <w:szCs w:val="19"/>
          <w:color w:val="auto"/>
        </w:rPr>
        <w:t>”) and that are granted to you under the XPO Logistics, Inc. 2016 Omnibus Incentive Compensation Plan (the “</w:t>
      </w:r>
      <w:r>
        <w:rPr>
          <w:rFonts w:ascii="Arial" w:cs="Arial" w:eastAsia="Arial" w:hAnsi="Arial"/>
          <w:sz w:val="19"/>
          <w:szCs w:val="19"/>
          <w:u w:val="single" w:color="auto"/>
          <w:color w:val="auto"/>
        </w:rPr>
        <w:t>Plan</w:t>
      </w:r>
      <w:r>
        <w:rPr>
          <w:rFonts w:ascii="Arial" w:cs="Arial" w:eastAsia="Arial" w:hAnsi="Arial"/>
          <w:sz w:val="19"/>
          <w:szCs w:val="19"/>
          <w:color w:val="auto"/>
        </w:rPr>
        <w:t>”). This Award provides you with the opportunity to earn, subject to the terms of this Award Agreement, Shares or cash, as set forth in Section 3 of this Award Agreement.</w:t>
      </w:r>
    </w:p>
    <w:p>
      <w:pPr>
        <w:spacing w:after="0" w:line="149" w:lineRule="exact"/>
        <w:rPr>
          <w:sz w:val="20"/>
          <w:szCs w:val="20"/>
          <w:color w:val="auto"/>
        </w:rPr>
      </w:pPr>
    </w:p>
    <w:p>
      <w:pPr>
        <w:ind w:right="40" w:firstLine="1296"/>
        <w:spacing w:after="0" w:line="250" w:lineRule="auto"/>
        <w:rPr>
          <w:sz w:val="20"/>
          <w:szCs w:val="20"/>
          <w:color w:val="auto"/>
        </w:rPr>
      </w:pPr>
      <w:r>
        <w:rPr>
          <w:rFonts w:ascii="Arial" w:cs="Arial" w:eastAsia="Arial" w:hAnsi="Arial"/>
          <w:sz w:val="22"/>
          <w:szCs w:val="22"/>
          <w:color w:val="auto"/>
        </w:rPr>
        <w:t>THIS AWARD IS SUBJECT TO ALL TERMS AND CONDITIONS OF THE PLAN AND THIS AWARD AGREEMENT, INCLUDING THE DISPUTE RESOLUTION PROVISIONS SET FORTH IN SECTION 10 OF THIS AWARD AGREEMENT. BY SIGNING YOUR NAME BELOW, YOU SHALL HAVE CONFIRMED YOUR ACCEPTANCE OF THE TERMS AND CONDITIONS OF THIS AWARD AGREEMENT.</w:t>
      </w:r>
    </w:p>
    <w:p>
      <w:pPr>
        <w:spacing w:after="0" w:line="161" w:lineRule="exact"/>
        <w:rPr>
          <w:sz w:val="20"/>
          <w:szCs w:val="20"/>
          <w:color w:val="auto"/>
        </w:rPr>
      </w:pPr>
    </w:p>
    <w:p>
      <w:pPr>
        <w:ind w:right="160" w:firstLine="1296"/>
        <w:spacing w:after="0" w:line="223" w:lineRule="auto"/>
        <w:rPr>
          <w:sz w:val="20"/>
          <w:szCs w:val="20"/>
          <w:color w:val="auto"/>
        </w:rPr>
      </w:pPr>
      <w:r>
        <w:rPr>
          <w:rFonts w:ascii="Arial" w:cs="Arial" w:eastAsia="Arial" w:hAnsi="Arial"/>
          <w:sz w:val="22"/>
          <w:szCs w:val="22"/>
          <w:color w:val="010000"/>
        </w:rPr>
        <w:t xml:space="preserve">SECTION 1. </w:t>
      </w:r>
      <w:r>
        <w:rPr>
          <w:rFonts w:ascii="Arial" w:cs="Arial" w:eastAsia="Arial" w:hAnsi="Arial"/>
          <w:sz w:val="22"/>
          <w:szCs w:val="22"/>
          <w:u w:val="single" w:color="auto"/>
          <w:color w:val="000000"/>
        </w:rPr>
        <w:t>The Plan.</w:t>
      </w:r>
      <w:r>
        <w:rPr>
          <w:rFonts w:ascii="Arial" w:cs="Arial" w:eastAsia="Arial" w:hAnsi="Arial"/>
          <w:sz w:val="22"/>
          <w:szCs w:val="22"/>
          <w:color w:val="010000"/>
        </w:rPr>
        <w:t xml:space="preserve"> </w:t>
      </w:r>
      <w:r>
        <w:rPr>
          <w:rFonts w:ascii="Arial" w:cs="Arial" w:eastAsia="Arial" w:hAnsi="Arial"/>
          <w:sz w:val="22"/>
          <w:szCs w:val="22"/>
          <w:color w:val="000000"/>
        </w:rPr>
        <w:t>This Award is made pursuant to the Plan, all the terms of which are hereby</w:t>
      </w:r>
      <w:r>
        <w:rPr>
          <w:rFonts w:ascii="Arial" w:cs="Arial" w:eastAsia="Arial" w:hAnsi="Arial"/>
          <w:sz w:val="22"/>
          <w:szCs w:val="22"/>
          <w:color w:val="010000"/>
        </w:rPr>
        <w:t xml:space="preserve"> </w:t>
      </w:r>
      <w:r>
        <w:rPr>
          <w:rFonts w:ascii="Arial" w:cs="Arial" w:eastAsia="Arial" w:hAnsi="Arial"/>
          <w:sz w:val="22"/>
          <w:szCs w:val="22"/>
          <w:color w:val="000000"/>
        </w:rPr>
        <w:t>incorporated in this Award Agreement. In the event of any conflict between the terms of the Plan and the terms of this Award Agreement, the terms of the Plan shall govern.</w:t>
      </w:r>
    </w:p>
    <w:p>
      <w:pPr>
        <w:spacing w:after="0" w:line="159" w:lineRule="exact"/>
        <w:rPr>
          <w:sz w:val="20"/>
          <w:szCs w:val="20"/>
          <w:color w:val="auto"/>
        </w:rPr>
      </w:pPr>
    </w:p>
    <w:p>
      <w:pPr>
        <w:jc w:val="both"/>
        <w:ind w:right="180" w:firstLine="1296"/>
        <w:spacing w:after="0" w:line="223" w:lineRule="auto"/>
        <w:rPr>
          <w:sz w:val="20"/>
          <w:szCs w:val="20"/>
          <w:color w:val="auto"/>
        </w:rPr>
      </w:pPr>
      <w:r>
        <w:rPr>
          <w:rFonts w:ascii="Arial" w:cs="Arial" w:eastAsia="Arial" w:hAnsi="Arial"/>
          <w:sz w:val="22"/>
          <w:szCs w:val="22"/>
          <w:color w:val="010000"/>
        </w:rPr>
        <w:t xml:space="preserve">SECTION 2. </w:t>
      </w:r>
      <w:r>
        <w:rPr>
          <w:rFonts w:ascii="Arial" w:cs="Arial" w:eastAsia="Arial" w:hAnsi="Arial"/>
          <w:sz w:val="22"/>
          <w:szCs w:val="22"/>
          <w:u w:val="single" w:color="auto"/>
          <w:color w:val="000000"/>
        </w:rPr>
        <w:t>Definitions.</w:t>
      </w:r>
      <w:r>
        <w:rPr>
          <w:rFonts w:ascii="Arial" w:cs="Arial" w:eastAsia="Arial" w:hAnsi="Arial"/>
          <w:sz w:val="22"/>
          <w:szCs w:val="22"/>
          <w:color w:val="010000"/>
        </w:rPr>
        <w:t xml:space="preserve"> </w:t>
      </w:r>
      <w:r>
        <w:rPr>
          <w:rFonts w:ascii="Arial" w:cs="Arial" w:eastAsia="Arial" w:hAnsi="Arial"/>
          <w:sz w:val="22"/>
          <w:szCs w:val="22"/>
          <w:color w:val="000000"/>
        </w:rPr>
        <w:t>Capitalized terms used in this Award Agreement that are not defined in</w:t>
      </w:r>
      <w:r>
        <w:rPr>
          <w:rFonts w:ascii="Arial" w:cs="Arial" w:eastAsia="Arial" w:hAnsi="Arial"/>
          <w:sz w:val="22"/>
          <w:szCs w:val="22"/>
          <w:color w:val="010000"/>
        </w:rPr>
        <w:t xml:space="preserve"> </w:t>
      </w:r>
      <w:r>
        <w:rPr>
          <w:rFonts w:ascii="Arial" w:cs="Arial" w:eastAsia="Arial" w:hAnsi="Arial"/>
          <w:sz w:val="22"/>
          <w:szCs w:val="22"/>
          <w:color w:val="000000"/>
        </w:rPr>
        <w:t>this Award Agreement have the meanings as used or defined in the Plan. As used in this Award Agreement, the following terms have the meanings set forth below:</w:t>
      </w:r>
    </w:p>
    <w:p>
      <w:pPr>
        <w:spacing w:after="0" w:line="186" w:lineRule="exact"/>
        <w:rPr>
          <w:sz w:val="20"/>
          <w:szCs w:val="20"/>
          <w:color w:val="auto"/>
        </w:rPr>
      </w:pPr>
    </w:p>
    <w:p>
      <w:pPr>
        <w:ind w:right="3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that is not a Saturday, a Sunday or a day on which banking institutions are legally permitted to be closed in the City of New York.</w:t>
      </w:r>
    </w:p>
    <w:p>
      <w:pPr>
        <w:spacing w:after="0" w:line="175" w:lineRule="exact"/>
        <w:rPr>
          <w:sz w:val="20"/>
          <w:szCs w:val="20"/>
          <w:color w:val="auto"/>
        </w:rPr>
      </w:pPr>
    </w:p>
    <w:p>
      <w:pPr>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(i) your dereliction of duties or gross negligence or failure to perform your duties or refusal to follow any lawful directive of the officer to whom you report; (ii) your abuse of or dependency on alcohol or drugs (illicit or otherwise) that adversely affects your performance of duties for the Company; (iii) your commission of any fraud, embezzlement, theft or dishonesty, or any deliberate misappropriation of money or other assets of the Company; (iv) your breach of any</w:t>
      </w:r>
    </w:p>
    <w:p>
      <w:pPr>
        <w:sectPr>
          <w:pgSz w:w="11900" w:h="16838" w:orient="portrait"/>
          <w:cols w:equalWidth="0" w:num="1">
            <w:col w:w="11220"/>
          </w:cols>
          <w:pgMar w:left="320" w:top="1117" w:right="359" w:bottom="1440" w:gutter="0" w:footer="0" w:header="0"/>
        </w:sectPr>
      </w:pPr>
    </w:p>
    <w:bookmarkStart w:id="104" w:name="page105"/>
    <w:bookmarkEnd w:id="104"/>
    <w:p>
      <w:pPr>
        <w:spacing w:after="0" w:line="287" w:lineRule="auto"/>
        <w:rPr>
          <w:sz w:val="20"/>
          <w:szCs w:val="20"/>
          <w:color w:val="auto"/>
        </w:rPr>
      </w:pPr>
      <w:r>
        <w:rPr>
          <w:rFonts w:ascii="Arial" w:cs="Arial" w:eastAsia="Arial" w:hAnsi="Arial"/>
          <w:sz w:val="19"/>
          <w:szCs w:val="19"/>
          <w:color w:val="auto"/>
        </w:rPr>
        <w:t>fiduciary duties to the Company or any agreement with the Company; (v) any act, or failure to act, by you in bad faith to the detriment of the Company; (vi) your failure to provide the Company with at least 30 days’ advanced written notice of your intention to resign; (vii) your failure to cooperate in good faith with a governmental or internal investigation of the Company or any of its directors, managers, officers or employees, if the Company requests your cooperation; (viii) your failure to follow Company policies, including the Company’s code of conduct and/or ethics policy, as may be in effect from time to time, and (ix) your conviction of, or plea of nolo contendere to, a felony or any serious crime; provided that in cases where cure is possible, you shall first be provided a 15-day cure period. If, subsequent to your termination of employment for any reason other than by the Company for Cause, it is determined in good faith by the Chief Executive Officer of the Company that your employment could have been terminated by the Company for Cause, your employment shall, at the election of the Chief Executive Officer of the Company at any time up to two years after your termination of employment but in no event more than six months after the Chief Executive Officer of the Company learns of the facts or events that could give rise to the termination for Cause, be deemed to have been terminated for Cause retroactively to the date the events giving rise to Cause occurred.</w:t>
      </w:r>
    </w:p>
    <w:p>
      <w:pPr>
        <w:spacing w:after="0" w:line="19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w:t>
      </w:r>
    </w:p>
    <w:p>
      <w:pPr>
        <w:spacing w:after="0" w:line="233" w:lineRule="exact"/>
        <w:rPr>
          <w:sz w:val="20"/>
          <w:szCs w:val="20"/>
          <w:color w:val="auto"/>
        </w:rPr>
      </w:pPr>
    </w:p>
    <w:p>
      <w:pPr>
        <w:ind w:right="120" w:firstLine="1385"/>
        <w:spacing w:after="0" w:line="221" w:lineRule="auto"/>
        <w:tabs>
          <w:tab w:leader="none" w:pos="2134" w:val="left"/>
        </w:tabs>
        <w:numPr>
          <w:ilvl w:val="0"/>
          <w:numId w:val="106"/>
        </w:numPr>
        <w:rPr>
          <w:rFonts w:ascii="Arial" w:cs="Arial" w:eastAsia="Arial" w:hAnsi="Arial"/>
          <w:sz w:val="21"/>
          <w:szCs w:val="21"/>
          <w:color w:val="auto"/>
        </w:rPr>
      </w:pPr>
      <w:r>
        <w:rPr>
          <w:rFonts w:ascii="Arial" w:cs="Arial" w:eastAsia="Arial" w:hAnsi="Arial"/>
          <w:sz w:val="21"/>
          <w:szCs w:val="21"/>
          <w:color w:val="auto"/>
        </w:rPr>
        <w:t>during any period, individuals who were directors of the Company on the first day of such period (the “</w:t>
      </w:r>
      <w:r>
        <w:rPr>
          <w:rFonts w:ascii="Arial" w:cs="Arial" w:eastAsia="Arial" w:hAnsi="Arial"/>
          <w:sz w:val="21"/>
          <w:szCs w:val="21"/>
          <w:u w:val="single" w:color="auto"/>
          <w:color w:val="auto"/>
        </w:rPr>
        <w:t>Incumbent Directors</w:t>
      </w:r>
      <w:r>
        <w:rPr>
          <w:rFonts w:ascii="Arial" w:cs="Arial" w:eastAsia="Arial" w:hAnsi="Arial"/>
          <w:sz w:val="21"/>
          <w:szCs w:val="21"/>
          <w:color w:val="auto"/>
        </w:rPr>
        <w:t xml:space="preserve">”) cease for any reason to constitute a majority of the Board;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individual becoming a director subsequent to the first day of such period whose election, or nomination by the Board for election by the Company’s stockholders, was approved by a vote of at least a majority of the Incumbent Directors shall be considered as though such individual were an Incumbent Director,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(including without limitation any settlement thereof);</w:t>
      </w:r>
    </w:p>
    <w:p>
      <w:pPr>
        <w:spacing w:after="0" w:line="205" w:lineRule="exact"/>
        <w:rPr>
          <w:rFonts w:ascii="Arial" w:cs="Arial" w:eastAsia="Arial" w:hAnsi="Arial"/>
          <w:sz w:val="21"/>
          <w:szCs w:val="21"/>
          <w:color w:val="auto"/>
        </w:rPr>
      </w:pPr>
    </w:p>
    <w:p>
      <w:pPr>
        <w:ind w:firstLine="1385"/>
        <w:spacing w:after="0" w:line="221" w:lineRule="auto"/>
        <w:tabs>
          <w:tab w:leader="none" w:pos="2248"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the consummation of (A) a merger, consolidation, statutory share exchange or similar form of corporate transaction involving the Company (each of the events referred to in this clause (A) being hereinafter referred to as a “</w:t>
      </w:r>
      <w:r>
        <w:rPr>
          <w:rFonts w:ascii="Arial" w:cs="Arial" w:eastAsia="Arial" w:hAnsi="Arial"/>
          <w:sz w:val="21"/>
          <w:szCs w:val="21"/>
          <w:u w:val="single" w:color="auto"/>
          <w:color w:val="auto"/>
        </w:rPr>
        <w:t>Reorganization</w:t>
      </w:r>
      <w:r>
        <w:rPr>
          <w:rFonts w:ascii="Arial" w:cs="Arial" w:eastAsia="Arial" w:hAnsi="Arial"/>
          <w:sz w:val="21"/>
          <w:szCs w:val="21"/>
          <w:color w:val="auto"/>
        </w:rPr>
        <w:t>”) or (B) the sale or other disposition of all or substantially all of the assets of the Company to an entity that is not an Affiliate (a “</w:t>
      </w:r>
      <w:r>
        <w:rPr>
          <w:rFonts w:ascii="Arial" w:cs="Arial" w:eastAsia="Arial" w:hAnsi="Arial"/>
          <w:sz w:val="21"/>
          <w:szCs w:val="21"/>
          <w:u w:val="single" w:color="auto"/>
          <w:color w:val="auto"/>
        </w:rPr>
        <w:t>Sale</w:t>
      </w:r>
      <w:r>
        <w:rPr>
          <w:rFonts w:ascii="Arial" w:cs="Arial" w:eastAsia="Arial" w:hAnsi="Arial"/>
          <w:sz w:val="21"/>
          <w:szCs w:val="21"/>
          <w:color w:val="auto"/>
        </w:rPr>
        <w:t>”), in each case, if such Reorganization or Sale requires the approval of the Company’s stockholders under the law of the Company’s jurisdiction of organization (whether such approval is required for such Reorganization or Sale or for the issuance of securities of the Company in such Reorganization or Sale), unless, immediately following such Reorganization or Sale, (1) individuals and entities who were the “beneficial owners” (as such term is defined in Rule 13d-3 under the Exchange Act (or a successor rule thereto)) of the securities eligible to vote for the election of the Board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w:t>
      </w:r>
      <w:r>
        <w:rPr>
          <w:rFonts w:ascii="Arial" w:cs="Arial" w:eastAsia="Arial" w:hAnsi="Arial"/>
          <w:sz w:val="21"/>
          <w:szCs w:val="21"/>
          <w:u w:val="single" w:color="auto"/>
          <w:color w:val="auto"/>
        </w:rPr>
        <w:t>Voting Securities</w:t>
      </w:r>
      <w:r>
        <w:rPr>
          <w:rFonts w:ascii="Arial" w:cs="Arial" w:eastAsia="Arial" w:hAnsi="Arial"/>
          <w:sz w:val="21"/>
          <w:szCs w:val="21"/>
          <w:color w:val="auto"/>
        </w:rPr>
        <w:t>”) outstanding immediately prior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220"/>
          </w:cols>
          <w:pgMar w:left="320" w:top="604" w:right="359" w:bottom="1440" w:gutter="0" w:footer="0" w:header="0"/>
        </w:sectPr>
      </w:pPr>
    </w:p>
    <w:bookmarkStart w:id="105" w:name="page106"/>
    <w:bookmarkEnd w:id="105"/>
    <w:p>
      <w:pPr>
        <w:ind w:right="100"/>
        <w:spacing w:after="0" w:line="218" w:lineRule="auto"/>
        <w:rPr>
          <w:sz w:val="20"/>
          <w:szCs w:val="20"/>
          <w:color w:val="auto"/>
        </w:rPr>
      </w:pPr>
      <w:r>
        <w:rPr>
          <w:rFonts w:ascii="Arial" w:cs="Arial" w:eastAsia="Arial" w:hAnsi="Arial"/>
          <w:sz w:val="21"/>
          <w:szCs w:val="21"/>
          <w:color w:val="auto"/>
        </w:rPr>
        <w:t>the consummation of such Reorganization or Sale continue to beneficially own, directly or indirectly, more than 50% of the combined voting power of the then outstanding voting securities of the corporation or other entity resulting from such Reorganization or Sale (including a corporation that, as a result of such transaction, owns the Company or all or substantially all of the Company’s assets either directly or through one or more subsidiaries) (the “</w:t>
      </w:r>
      <w:r>
        <w:rPr>
          <w:rFonts w:ascii="Arial" w:cs="Arial" w:eastAsia="Arial" w:hAnsi="Arial"/>
          <w:sz w:val="21"/>
          <w:szCs w:val="21"/>
          <w:u w:val="single" w:color="auto"/>
          <w:color w:val="auto"/>
        </w:rPr>
        <w:t>Continuing Company</w:t>
      </w:r>
      <w:r>
        <w:rPr>
          <w:rFonts w:ascii="Arial" w:cs="Arial" w:eastAsia="Arial" w:hAnsi="Arial"/>
          <w:sz w:val="21"/>
          <w:szCs w:val="21"/>
          <w:color w:val="auto"/>
        </w:rPr>
        <w:t>”) in substantially the same proportion as the voting power of such Company Voting Securities among the holders thereof immediately prior to the Reorganization or Sale (excluding, for such purposes, any outstanding voting securities of the Continuing Company that such beneficial owners hold immediately following the consummation of the Reorganization or Sale as a result of their ownership prior to such consummation of voting securities of any corporation or other entity involved in or forming part of such Reorganization or Sale other than the Company), (2) no “person” (as such term is used in Section 13(d) of the Exchange Act) (each, a “</w:t>
      </w:r>
      <w:r>
        <w:rPr>
          <w:rFonts w:ascii="Arial" w:cs="Arial" w:eastAsia="Arial" w:hAnsi="Arial"/>
          <w:sz w:val="21"/>
          <w:szCs w:val="21"/>
          <w:u w:val="single" w:color="auto"/>
          <w:color w:val="auto"/>
        </w:rPr>
        <w:t>Person</w:t>
      </w:r>
      <w:r>
        <w:rPr>
          <w:rFonts w:ascii="Arial" w:cs="Arial" w:eastAsia="Arial" w:hAnsi="Arial"/>
          <w:sz w:val="21"/>
          <w:szCs w:val="21"/>
          <w:color w:val="auto"/>
        </w:rPr>
        <w:t>”) (excluding (x) any employee benefit plan (or related trust) sponsored or maintained by the Continuing Company or any corporation controlled by the Continuing Company and (y) any one or more Specified Stockholders) beneficially owns, directly or indirectly, 30% or more of the combined voting power of the then outstanding voting securities of the Continuing Company and (3) at least 50% of the members of the board of directors of the Continuing Company (or equivalent body) were Incumbent Directors at the time of the execution of the definitive agreement providing for such Reorganization or Sale or, in the absence of such an agreement, at the time at which approval of the Board was obtained for such Reorganization or Sale;</w:t>
      </w:r>
    </w:p>
    <w:p>
      <w:pPr>
        <w:spacing w:after="0" w:line="243" w:lineRule="exact"/>
        <w:rPr>
          <w:sz w:val="20"/>
          <w:szCs w:val="20"/>
          <w:color w:val="auto"/>
        </w:rPr>
      </w:pPr>
    </w:p>
    <w:p>
      <w:pPr>
        <w:ind w:right="80" w:firstLine="1385"/>
        <w:spacing w:after="0" w:line="223" w:lineRule="auto"/>
        <w:tabs>
          <w:tab w:leader="none" w:pos="2227" w:val="left"/>
        </w:tabs>
        <w:numPr>
          <w:ilvl w:val="0"/>
          <w:numId w:val="107"/>
        </w:numPr>
        <w:rPr>
          <w:rFonts w:ascii="Arial" w:cs="Arial" w:eastAsia="Arial" w:hAnsi="Arial"/>
          <w:sz w:val="20"/>
          <w:szCs w:val="20"/>
          <w:color w:val="auto"/>
        </w:rPr>
      </w:pPr>
      <w:r>
        <w:rPr>
          <w:rFonts w:ascii="Arial" w:cs="Arial" w:eastAsia="Arial" w:hAnsi="Arial"/>
          <w:sz w:val="22"/>
          <w:szCs w:val="22"/>
          <w:color w:val="auto"/>
        </w:rPr>
        <w:t>the stockholders of the Company approve a plan of complete liquidation or dissolution of the Company unless such liquidation or dissolution is part of a transaction or series of transactions described in paragraph (ii) above that does not otherwise constitute a Change of Control; or</w:t>
      </w:r>
    </w:p>
    <w:p>
      <w:pPr>
        <w:spacing w:after="0" w:line="199" w:lineRule="exact"/>
        <w:rPr>
          <w:rFonts w:ascii="Arial" w:cs="Arial" w:eastAsia="Arial" w:hAnsi="Arial"/>
          <w:sz w:val="20"/>
          <w:szCs w:val="20"/>
          <w:color w:val="auto"/>
        </w:rPr>
      </w:pPr>
    </w:p>
    <w:p>
      <w:pPr>
        <w:ind w:firstLine="1385"/>
        <w:spacing w:after="0" w:line="219" w:lineRule="auto"/>
        <w:tabs>
          <w:tab w:leader="none" w:pos="2216" w:val="left"/>
        </w:tabs>
        <w:numPr>
          <w:ilvl w:val="0"/>
          <w:numId w:val="107"/>
        </w:numPr>
        <w:rPr>
          <w:rFonts w:ascii="Arial" w:cs="Arial" w:eastAsia="Arial" w:hAnsi="Arial"/>
          <w:sz w:val="19"/>
          <w:szCs w:val="19"/>
          <w:color w:val="auto"/>
        </w:rPr>
      </w:pPr>
      <w:r>
        <w:rPr>
          <w:rFonts w:ascii="Arial" w:cs="Arial" w:eastAsia="Arial" w:hAnsi="Arial"/>
          <w:sz w:val="21"/>
          <w:szCs w:val="21"/>
          <w:color w:val="auto"/>
        </w:rPr>
        <w:t xml:space="preserve">any Person, corporation or other entity or “group” (as used in Section 14(d)(2) of the Exchange Act) (other than (A) the Company, (B) any trustee or other fiduciary holding securities under an employee benefit plan of the Company or an Affiliate, (C) any company owned, directly or indirectly, by the stockholders of the Company in substantially the same proportions as their ownership of the voting power of the Company Voting Securities or (D) any one or more Specified Stockholders, including any group in which a Specified Stockholder is a member) becomes the beneficial owner, directly or indirectly, of securities of the Company representing 30% or more of the combined voting power of the Company Voting Securities;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for purposes of this subparagraph (iv), the following acquisitions shall not constitute a Change of Control: (w) any acquisition directly from the Company, (x) any acquisition by any employee benefit plan (or related trust) sponsored or maintained by the Company or an Affiliate, (y) any acquisition by an underwriter temporarily holding such Company Voting Securities pursuant to an offering of such securities or any acquisition by a pledgee of Company Voting Securities holding such securities as collateral or temporarily holding such securities upon foreclosure of the underlying obligation or (z) any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1240"/>
          </w:cols>
          <w:pgMar w:left="320" w:top="577" w:right="339" w:bottom="1440" w:gutter="0" w:footer="0" w:header="0"/>
        </w:sectPr>
      </w:pPr>
    </w:p>
    <w:bookmarkStart w:id="106" w:name="page107"/>
    <w:bookmarkEnd w:id="106"/>
    <w:p>
      <w:pPr>
        <w:ind w:right="640"/>
        <w:spacing w:after="0" w:line="232" w:lineRule="auto"/>
        <w:rPr>
          <w:sz w:val="20"/>
          <w:szCs w:val="20"/>
          <w:color w:val="auto"/>
        </w:rPr>
      </w:pPr>
      <w:r>
        <w:rPr>
          <w:rFonts w:ascii="Arial" w:cs="Arial" w:eastAsia="Arial" w:hAnsi="Arial"/>
          <w:sz w:val="22"/>
          <w:szCs w:val="22"/>
          <w:color w:val="auto"/>
        </w:rPr>
        <w:t>acquisition pursuant to a Reorganization or Sale that does not constitute a Change of Control for purposes of subparagraph (ii) above of this definition.</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20" w:lineRule="exact"/>
        <w:rPr>
          <w:sz w:val="20"/>
          <w:szCs w:val="20"/>
          <w:color w:val="auto"/>
        </w:rPr>
      </w:pPr>
    </w:p>
    <w:p>
      <w:pPr>
        <w:ind w:right="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means any individual employment agreement between you and the Company or any of its Subsidiaries.</w:t>
      </w:r>
    </w:p>
    <w:p>
      <w:pPr>
        <w:spacing w:after="0" w:line="175"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means Section 409A of the Code, and the regulations and other interpretive guidance promulgated thereunder, as in effect from time to time.</w:t>
      </w:r>
    </w:p>
    <w:p>
      <w:pPr>
        <w:spacing w:after="0" w:line="175" w:lineRule="exact"/>
        <w:rPr>
          <w:sz w:val="20"/>
          <w:szCs w:val="20"/>
          <w:color w:val="auto"/>
        </w:rPr>
      </w:pPr>
    </w:p>
    <w:p>
      <w:pPr>
        <w:ind w:right="80"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Settlement Date</w:t>
      </w:r>
      <w:r>
        <w:rPr>
          <w:rFonts w:ascii="Arial" w:cs="Arial" w:eastAsia="Arial" w:hAnsi="Arial"/>
          <w:sz w:val="21"/>
          <w:szCs w:val="21"/>
          <w:color w:val="auto"/>
        </w:rPr>
        <w:t>” means the tenth (10th) day following the earliest of (i) the applicable Vesting Date; (ii) the date of your termination of employment due to death or by the Company without Cause; or (iii) a Change of Control.</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 Date</w:t>
      </w:r>
      <w:r>
        <w:rPr>
          <w:rFonts w:ascii="Arial" w:cs="Arial" w:eastAsia="Arial" w:hAnsi="Arial"/>
          <w:sz w:val="22"/>
          <w:szCs w:val="22"/>
          <w:color w:val="auto"/>
        </w:rPr>
        <w:t>” means each of the first three (3) anniversaries of the Grant Date.</w:t>
      </w:r>
    </w:p>
    <w:p>
      <w:pPr>
        <w:spacing w:after="0" w:line="233" w:lineRule="exact"/>
        <w:rPr>
          <w:sz w:val="20"/>
          <w:szCs w:val="20"/>
          <w:color w:val="auto"/>
        </w:rPr>
      </w:pPr>
    </w:p>
    <w:p>
      <w:pPr>
        <w:ind w:left="1300"/>
        <w:spacing w:after="0"/>
        <w:tabs>
          <w:tab w:leader="none" w:pos="3700" w:val="left"/>
        </w:tabs>
        <w:rPr>
          <w:sz w:val="20"/>
          <w:szCs w:val="20"/>
          <w:color w:val="auto"/>
        </w:rPr>
      </w:pPr>
      <w:r>
        <w:rPr>
          <w:rFonts w:ascii="Arial" w:cs="Arial" w:eastAsia="Arial" w:hAnsi="Arial"/>
          <w:sz w:val="22"/>
          <w:szCs w:val="22"/>
          <w:color w:val="010000"/>
        </w:rPr>
        <w:t>SECTION 3.</w:t>
      </w:r>
      <w:r>
        <w:rPr>
          <w:sz w:val="20"/>
          <w:szCs w:val="20"/>
          <w:color w:val="auto"/>
        </w:rPr>
        <w:tab/>
      </w:r>
      <w:r>
        <w:rPr>
          <w:rFonts w:ascii="Arial" w:cs="Arial" w:eastAsia="Arial" w:hAnsi="Arial"/>
          <w:sz w:val="19"/>
          <w:szCs w:val="19"/>
          <w:u w:val="single" w:color="auto"/>
          <w:color w:val="auto"/>
        </w:rPr>
        <w:t>Vesting and Settlement</w:t>
      </w:r>
    </w:p>
    <w:p>
      <w:pPr>
        <w:spacing w:after="0" w:line="206" w:lineRule="exact"/>
        <w:rPr>
          <w:sz w:val="20"/>
          <w:szCs w:val="20"/>
          <w:color w:val="auto"/>
        </w:rPr>
      </w:pPr>
    </w:p>
    <w:p>
      <w:pPr>
        <w:ind w:firstLine="1304"/>
        <w:spacing w:after="0" w:line="312" w:lineRule="auto"/>
        <w:tabs>
          <w:tab w:leader="none" w:pos="1590"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Regularly Scheduled Settlement</w:t>
      </w:r>
      <w:r>
        <w:rPr>
          <w:rFonts w:ascii="Arial" w:cs="Arial" w:eastAsia="Arial" w:hAnsi="Arial"/>
          <w:sz w:val="19"/>
          <w:szCs w:val="19"/>
          <w:color w:val="auto"/>
        </w:rPr>
        <w:t>. Except as otherwise provided in this Award Agreement, subject to your continued employment through each Vesting Date, you shall become entitled to delivery of Shares, cash or a combination thereof, as determined by the Company in its sole discretion, in settlement of one third (1/3) of the RSUs on each Vesting Date.</w:t>
      </w:r>
    </w:p>
    <w:p>
      <w:pPr>
        <w:spacing w:after="0" w:line="133" w:lineRule="exact"/>
        <w:rPr>
          <w:rFonts w:ascii="Arial" w:cs="Arial" w:eastAsia="Arial" w:hAnsi="Arial"/>
          <w:sz w:val="19"/>
          <w:szCs w:val="19"/>
          <w:color w:val="auto"/>
        </w:rPr>
      </w:pPr>
    </w:p>
    <w:p>
      <w:pPr>
        <w:ind w:left="1600" w:hanging="296"/>
        <w:spacing w:after="0"/>
        <w:tabs>
          <w:tab w:leader="none" w:pos="1600"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Notwithstanding anything to the contrary in this Award Agreement or the Plan to</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contrary:</w:t>
      </w:r>
    </w:p>
    <w:p>
      <w:pPr>
        <w:spacing w:after="0" w:line="202" w:lineRule="exact"/>
        <w:rPr>
          <w:sz w:val="20"/>
          <w:szCs w:val="20"/>
          <w:color w:val="auto"/>
        </w:rPr>
      </w:pPr>
    </w:p>
    <w:p>
      <w:pPr>
        <w:ind w:left="1620" w:hanging="316"/>
        <w:spacing w:after="0"/>
        <w:tabs>
          <w:tab w:leader="none" w:pos="162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if your employment terminates by reason of your death, all outstanding RSUs shall vest in full immediately;</w:t>
      </w:r>
    </w:p>
    <w:p>
      <w:pPr>
        <w:spacing w:after="0" w:line="294" w:lineRule="exact"/>
        <w:rPr>
          <w:rFonts w:ascii="Arial" w:cs="Arial" w:eastAsia="Arial" w:hAnsi="Arial"/>
          <w:sz w:val="19"/>
          <w:szCs w:val="19"/>
          <w:color w:val="auto"/>
        </w:rPr>
      </w:pPr>
    </w:p>
    <w:p>
      <w:pPr>
        <w:ind w:left="660" w:right="100" w:firstLine="644"/>
        <w:spacing w:after="0" w:line="263" w:lineRule="auto"/>
        <w:tabs>
          <w:tab w:leader="none" w:pos="16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if your employment is terminated by the Company for Cause or by reason of your Disability or you resign for any reason, all unvested RSUs shall be immediately forfeited; and</w:t>
      </w:r>
    </w:p>
    <w:p>
      <w:pPr>
        <w:spacing w:after="0" w:line="215" w:lineRule="exact"/>
        <w:rPr>
          <w:rFonts w:ascii="Arial" w:cs="Arial" w:eastAsia="Arial" w:hAnsi="Arial"/>
          <w:sz w:val="22"/>
          <w:szCs w:val="22"/>
          <w:color w:val="auto"/>
        </w:rPr>
      </w:pPr>
    </w:p>
    <w:p>
      <w:pPr>
        <w:ind w:left="660" w:right="480" w:firstLine="644"/>
        <w:spacing w:after="0" w:line="253" w:lineRule="auto"/>
        <w:tabs>
          <w:tab w:leader="none" w:pos="1686"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if your employment terminates for any reason not described in clauses (i) or (ii), (A) you shall vest in the number of RSUs corresponding to the Vesting Date scheduled to occur within twelve (12) months following your termination of employment, and (B) the remainder of the RSUs shall be forfeited.</w:t>
      </w:r>
    </w:p>
    <w:p>
      <w:pPr>
        <w:spacing w:after="0" w:line="226" w:lineRule="exact"/>
        <w:rPr>
          <w:sz w:val="20"/>
          <w:szCs w:val="20"/>
          <w:color w:val="auto"/>
        </w:rPr>
      </w:pPr>
    </w:p>
    <w:p>
      <w:pPr>
        <w:ind w:left="660" w:right="80" w:firstLine="648"/>
        <w:spacing w:after="0" w:line="253" w:lineRule="auto"/>
        <w:rPr>
          <w:sz w:val="20"/>
          <w:szCs w:val="20"/>
          <w:color w:val="auto"/>
        </w:rPr>
      </w:pPr>
      <w:r>
        <w:rPr>
          <w:rFonts w:ascii="Arial" w:cs="Arial" w:eastAsia="Arial" w:hAnsi="Arial"/>
          <w:sz w:val="22"/>
          <w:szCs w:val="22"/>
          <w:color w:val="auto"/>
        </w:rPr>
        <w:t>By way of illustration, if your employment is terminated by the Company without Cause on the date that is six (6) months after the first Vesting Date, you shall vest in the RSUs that are outstanding and eligible to vest on the second Vesting Date and the remainder of the RSUs shall be forfeited.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B-4</w:t>
      </w:r>
    </w:p>
    <w:p>
      <w:pPr>
        <w:sectPr>
          <w:pgSz w:w="11900" w:h="16838" w:orient="portrait"/>
          <w:cols w:equalWidth="0" w:num="1">
            <w:col w:w="11240"/>
          </w:cols>
          <w:pgMar w:left="320" w:top="577" w:right="339" w:bottom="1440" w:gutter="0" w:footer="0" w:header="0"/>
        </w:sectPr>
      </w:pPr>
    </w:p>
    <w:bookmarkStart w:id="107" w:name="page108"/>
    <w:bookmarkEnd w:id="107"/>
    <w:p>
      <w:pPr>
        <w:ind w:left="1300"/>
        <w:spacing w:after="0"/>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u w:val="single" w:color="auto"/>
          <w:color w:val="auto"/>
        </w:rPr>
        <w:t>Change of Control.</w:t>
      </w:r>
      <w:r>
        <w:rPr>
          <w:rFonts w:ascii="Arial" w:cs="Arial" w:eastAsia="Arial" w:hAnsi="Arial"/>
          <w:sz w:val="19"/>
          <w:szCs w:val="19"/>
          <w:color w:val="auto"/>
        </w:rPr>
        <w:t xml:space="preserve"> Upon a Change of Control that occurs during your employment, all RSUs shall vest in full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immediately.</w:t>
      </w:r>
    </w:p>
    <w:p>
      <w:pPr>
        <w:spacing w:after="0" w:line="202" w:lineRule="exact"/>
        <w:rPr>
          <w:sz w:val="20"/>
          <w:szCs w:val="20"/>
          <w:color w:val="auto"/>
        </w:rPr>
      </w:pPr>
    </w:p>
    <w:p>
      <w:pPr>
        <w:ind w:right="180" w:firstLine="1304"/>
        <w:spacing w:after="0" w:line="302" w:lineRule="auto"/>
        <w:tabs>
          <w:tab w:leader="none" w:pos="1602"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Settlement of RSU Award.</w:t>
      </w:r>
      <w:r>
        <w:rPr>
          <w:rFonts w:ascii="Arial" w:cs="Arial" w:eastAsia="Arial" w:hAnsi="Arial"/>
          <w:sz w:val="19"/>
          <w:szCs w:val="19"/>
          <w:color w:val="auto"/>
        </w:rPr>
        <w:t xml:space="preserve"> On the Settlement Date, the Company shall deliver to you or your legal representative either (i) one Share or (ii) a cash payment equal to the Fair Market Value determined as of the Settlement Date of one Share, in each case, for each RSU that has vested in accordance with the terms of this Award Agreement; provided that, the Company shall have sole discretion to determine whether to settle such RSUs in Shares, cash or a combination thereof.</w:t>
      </w:r>
    </w:p>
    <w:p>
      <w:pPr>
        <w:spacing w:after="0" w:line="115" w:lineRule="exact"/>
        <w:rPr>
          <w:sz w:val="20"/>
          <w:szCs w:val="20"/>
          <w:color w:val="auto"/>
        </w:rPr>
      </w:pPr>
    </w:p>
    <w:p>
      <w:pPr>
        <w:ind w:right="60" w:firstLine="1296"/>
        <w:spacing w:after="0" w:line="244" w:lineRule="auto"/>
        <w:rPr>
          <w:sz w:val="20"/>
          <w:szCs w:val="20"/>
          <w:color w:val="auto"/>
        </w:rPr>
      </w:pPr>
      <w:r>
        <w:rPr>
          <w:rFonts w:ascii="Arial" w:cs="Arial" w:eastAsia="Arial" w:hAnsi="Arial"/>
          <w:sz w:val="19"/>
          <w:szCs w:val="19"/>
          <w:color w:val="010000"/>
        </w:rPr>
        <w:t xml:space="preserve">SECTION 4. </w:t>
      </w:r>
      <w:r>
        <w:rPr>
          <w:rFonts w:ascii="Arial" w:cs="Arial" w:eastAsia="Arial" w:hAnsi="Arial"/>
          <w:sz w:val="19"/>
          <w:szCs w:val="19"/>
          <w:u w:val="single" w:color="auto"/>
          <w:color w:val="000000"/>
        </w:rPr>
        <w:t>Forfeiture of RSUs.</w:t>
      </w:r>
      <w:r>
        <w:rPr>
          <w:rFonts w:ascii="Arial" w:cs="Arial" w:eastAsia="Arial" w:hAnsi="Arial"/>
          <w:sz w:val="19"/>
          <w:szCs w:val="19"/>
          <w:color w:val="010000"/>
        </w:rPr>
        <w:t xml:space="preserve"> </w:t>
      </w:r>
      <w:r>
        <w:rPr>
          <w:rFonts w:ascii="Arial" w:cs="Arial" w:eastAsia="Arial" w:hAnsi="Arial"/>
          <w:sz w:val="19"/>
          <w:szCs w:val="19"/>
          <w:color w:val="000000"/>
        </w:rPr>
        <w:t>If you (a) breach any restrictive covenant (which, for the</w:t>
      </w:r>
      <w:r>
        <w:rPr>
          <w:rFonts w:ascii="Arial" w:cs="Arial" w:eastAsia="Arial" w:hAnsi="Arial"/>
          <w:sz w:val="19"/>
          <w:szCs w:val="19"/>
          <w:color w:val="010000"/>
        </w:rPr>
        <w:t xml:space="preserve"> </w:t>
      </w:r>
      <w:r>
        <w:rPr>
          <w:rFonts w:ascii="Arial" w:cs="Arial" w:eastAsia="Arial" w:hAnsi="Arial"/>
          <w:sz w:val="19"/>
          <w:szCs w:val="19"/>
          <w:color w:val="000000"/>
        </w:rPr>
        <w:t>avoidance of doubt, includes any non-compete, non-solicit, non-disparagement or confidentiality provisions) contained in any arrangements with the Company (including any Employment Agreement and the confidentiality covenant contained in Section 10(c) hereof) to which you are subject or (b) engage in fraud or willful misconduct that contributes materially to any financial restatement or material loss to the Company or any of its Subsidiaries, your rights with respect to the RSUs shall immediately terminate, and you shall be entitled to no further payments or benefits with respect thereto and, if the RSUs are vested and/or settled, the Company may require you to forfeit or remit to the Company any amount payable, or the after-tax net amount paid or received by you, in respect of any RSUs; provided, however, that (i) the Company shall make such demand that you forfeit or remit any such amount no later than six months after learning of the conduct described in this Section 4 and (ii) in cases where cure is possible, you shall first be provided a 15-day cure period to cease, and to cure, such conduct.</w:t>
      </w:r>
    </w:p>
    <w:p>
      <w:pPr>
        <w:spacing w:after="0" w:line="155" w:lineRule="exact"/>
        <w:rPr>
          <w:sz w:val="20"/>
          <w:szCs w:val="20"/>
          <w:color w:val="auto"/>
        </w:rPr>
      </w:pPr>
    </w:p>
    <w:p>
      <w:pPr>
        <w:ind w:right="640" w:firstLine="1296"/>
        <w:spacing w:after="0" w:line="234" w:lineRule="auto"/>
        <w:rPr>
          <w:sz w:val="20"/>
          <w:szCs w:val="20"/>
          <w:color w:val="auto"/>
        </w:rPr>
      </w:pPr>
      <w:r>
        <w:rPr>
          <w:rFonts w:ascii="Arial" w:cs="Arial" w:eastAsia="Arial" w:hAnsi="Arial"/>
          <w:sz w:val="21"/>
          <w:szCs w:val="21"/>
          <w:color w:val="010000"/>
        </w:rPr>
        <w:t xml:space="preserve">SECTION 5. </w:t>
      </w:r>
      <w:r>
        <w:rPr>
          <w:rFonts w:ascii="Arial" w:cs="Arial" w:eastAsia="Arial" w:hAnsi="Arial"/>
          <w:sz w:val="21"/>
          <w:szCs w:val="21"/>
          <w:u w:val="single" w:color="auto"/>
          <w:color w:val="000000"/>
        </w:rPr>
        <w:t>No Rights as a Stockholder.</w:t>
      </w:r>
      <w:r>
        <w:rPr>
          <w:rFonts w:ascii="Arial" w:cs="Arial" w:eastAsia="Arial" w:hAnsi="Arial"/>
          <w:sz w:val="21"/>
          <w:szCs w:val="21"/>
          <w:color w:val="010000"/>
        </w:rPr>
        <w:t xml:space="preserve"> </w:t>
      </w:r>
      <w:r>
        <w:rPr>
          <w:rFonts w:ascii="Arial" w:cs="Arial" w:eastAsia="Arial" w:hAnsi="Arial"/>
          <w:sz w:val="21"/>
          <w:szCs w:val="21"/>
          <w:color w:val="000000"/>
        </w:rPr>
        <w:t>You shall not have any rights or privileges of a</w:t>
      </w:r>
      <w:r>
        <w:rPr>
          <w:rFonts w:ascii="Arial" w:cs="Arial" w:eastAsia="Arial" w:hAnsi="Arial"/>
          <w:sz w:val="21"/>
          <w:szCs w:val="21"/>
          <w:color w:val="010000"/>
        </w:rPr>
        <w:t xml:space="preserve"> </w:t>
      </w:r>
      <w:r>
        <w:rPr>
          <w:rFonts w:ascii="Arial" w:cs="Arial" w:eastAsia="Arial" w:hAnsi="Arial"/>
          <w:sz w:val="21"/>
          <w:szCs w:val="21"/>
          <w:color w:val="000000"/>
        </w:rPr>
        <w:t>stockholder with respect to the RSUs subject to this Award Agreement unless and until certificates representing Shares are actually issued and delivered to you or your legal representative in settlement of this Award.</w:t>
      </w:r>
    </w:p>
    <w:p>
      <w:pPr>
        <w:spacing w:after="0" w:line="158" w:lineRule="exact"/>
        <w:rPr>
          <w:sz w:val="20"/>
          <w:szCs w:val="20"/>
          <w:color w:val="auto"/>
        </w:rPr>
      </w:pPr>
    </w:p>
    <w:p>
      <w:pPr>
        <w:ind w:firstLine="1296"/>
        <w:spacing w:after="0" w:line="229" w:lineRule="auto"/>
        <w:rPr>
          <w:sz w:val="20"/>
          <w:szCs w:val="20"/>
          <w:color w:val="auto"/>
        </w:rPr>
      </w:pPr>
      <w:r>
        <w:rPr>
          <w:rFonts w:ascii="Arial" w:cs="Arial" w:eastAsia="Arial" w:hAnsi="Arial"/>
          <w:sz w:val="21"/>
          <w:szCs w:val="21"/>
          <w:color w:val="010000"/>
        </w:rPr>
        <w:t xml:space="preserve">SECTION 6. </w:t>
      </w:r>
      <w:r>
        <w:rPr>
          <w:rFonts w:ascii="Arial" w:cs="Arial" w:eastAsia="Arial" w:hAnsi="Arial"/>
          <w:sz w:val="21"/>
          <w:szCs w:val="21"/>
          <w:u w:val="single" w:color="auto"/>
          <w:color w:val="000000"/>
        </w:rPr>
        <w:t>Non-Transferability of RSUs.</w:t>
      </w:r>
      <w:r>
        <w:rPr>
          <w:rFonts w:ascii="Arial" w:cs="Arial" w:eastAsia="Arial" w:hAnsi="Arial"/>
          <w:sz w:val="21"/>
          <w:szCs w:val="21"/>
          <w:color w:val="010000"/>
        </w:rPr>
        <w:t xml:space="preserve"> </w:t>
      </w:r>
      <w:r>
        <w:rPr>
          <w:rFonts w:ascii="Arial" w:cs="Arial" w:eastAsia="Arial" w:hAnsi="Arial"/>
          <w:sz w:val="21"/>
          <w:szCs w:val="21"/>
          <w:color w:val="000000"/>
        </w:rPr>
        <w:t>Unless otherwise provided by the Committee in its</w:t>
      </w:r>
      <w:r>
        <w:rPr>
          <w:rFonts w:ascii="Arial" w:cs="Arial" w:eastAsia="Arial" w:hAnsi="Arial"/>
          <w:sz w:val="21"/>
          <w:szCs w:val="21"/>
          <w:color w:val="010000"/>
        </w:rPr>
        <w:t xml:space="preserve"> </w:t>
      </w:r>
      <w:r>
        <w:rPr>
          <w:rFonts w:ascii="Arial" w:cs="Arial" w:eastAsia="Arial" w:hAnsi="Arial"/>
          <w:sz w:val="21"/>
          <w:szCs w:val="21"/>
          <w:color w:val="000000"/>
        </w:rPr>
        <w:t>discretion, RSUs may not be sold, assigned, alienated, transferred, pledged, attached or otherwise encumbered except as provided in Section 9(a) of the Plan. Any purported sale, assignment, alienation, transfer, pledge, attachment or other encumbrance of RSUs in violation of the provisions of this Section 6 and Section 9(a) of the Plan shall be void.</w:t>
      </w:r>
    </w:p>
    <w:p>
      <w:pPr>
        <w:spacing w:after="0" w:line="158" w:lineRule="exact"/>
        <w:rPr>
          <w:sz w:val="20"/>
          <w:szCs w:val="20"/>
          <w:color w:val="auto"/>
        </w:rPr>
      </w:pPr>
    </w:p>
    <w:p>
      <w:pPr>
        <w:ind w:right="60" w:firstLine="1296"/>
        <w:spacing w:after="0" w:line="224" w:lineRule="auto"/>
        <w:rPr>
          <w:sz w:val="20"/>
          <w:szCs w:val="20"/>
          <w:color w:val="auto"/>
        </w:rPr>
      </w:pPr>
      <w:r>
        <w:rPr>
          <w:rFonts w:ascii="Arial" w:cs="Arial" w:eastAsia="Arial" w:hAnsi="Arial"/>
          <w:sz w:val="21"/>
          <w:szCs w:val="21"/>
          <w:color w:val="010000"/>
        </w:rPr>
        <w:t xml:space="preserve">SECTION 7. </w:t>
      </w:r>
      <w:r>
        <w:rPr>
          <w:rFonts w:ascii="Arial" w:cs="Arial" w:eastAsia="Arial" w:hAnsi="Arial"/>
          <w:sz w:val="21"/>
          <w:szCs w:val="21"/>
          <w:u w:val="single" w:color="auto"/>
          <w:color w:val="000000"/>
        </w:rPr>
        <w:t>Withholding, Consents and Legends.</w:t>
      </w:r>
      <w:r>
        <w:rPr>
          <w:rFonts w:ascii="Arial" w:cs="Arial" w:eastAsia="Arial" w:hAnsi="Arial"/>
          <w:sz w:val="21"/>
          <w:szCs w:val="21"/>
          <w:color w:val="010000"/>
        </w:rPr>
        <w:t xml:space="preserve"> </w:t>
      </w:r>
      <w:r>
        <w:rPr>
          <w:rFonts w:ascii="Arial" w:cs="Arial" w:eastAsia="Arial" w:hAnsi="Arial"/>
          <w:sz w:val="21"/>
          <w:szCs w:val="21"/>
          <w:color w:val="000000"/>
        </w:rPr>
        <w:t>(a)</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Withholding.</w:t>
      </w:r>
      <w:r>
        <w:rPr>
          <w:rFonts w:ascii="Arial" w:cs="Arial" w:eastAsia="Arial" w:hAnsi="Arial"/>
          <w:sz w:val="21"/>
          <w:szCs w:val="21"/>
          <w:color w:val="010000"/>
        </w:rPr>
        <w:t xml:space="preserve"> </w:t>
      </w:r>
      <w:r>
        <w:rPr>
          <w:rFonts w:ascii="Arial" w:cs="Arial" w:eastAsia="Arial" w:hAnsi="Arial"/>
          <w:sz w:val="21"/>
          <w:szCs w:val="21"/>
          <w:color w:val="000000"/>
        </w:rPr>
        <w:t>The delivery of Shares or cash</w:t>
      </w:r>
      <w:r>
        <w:rPr>
          <w:rFonts w:ascii="Arial" w:cs="Arial" w:eastAsia="Arial" w:hAnsi="Arial"/>
          <w:sz w:val="21"/>
          <w:szCs w:val="21"/>
          <w:color w:val="010000"/>
        </w:rPr>
        <w:t xml:space="preserve"> </w:t>
      </w:r>
      <w:r>
        <w:rPr>
          <w:rFonts w:ascii="Arial" w:cs="Arial" w:eastAsia="Arial" w:hAnsi="Arial"/>
          <w:sz w:val="21"/>
          <w:szCs w:val="21"/>
          <w:color w:val="000000"/>
        </w:rPr>
        <w:t>pursuant to Section 3 of this Award Agreement is conditioned on satisfaction of any applicable withholding taxes in accordance with this Section 7(a) and Section 9(d) of the Plan. No later than the date as of which an amount first becomes includible in your gross income for Federal, state, local or foreign income tax purposes with respect to any RSUs, you shall pay to the Company, or make arrangements satisfactory to the Company regarding the payment of, any Federal, state, local and foreign taxes that are required by applicable laws and regulations to be withheld with</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B-5</w:t>
      </w:r>
    </w:p>
    <w:p>
      <w:pPr>
        <w:sectPr>
          <w:pgSz w:w="11900" w:h="16838" w:orient="portrait"/>
          <w:cols w:equalWidth="0" w:num="1">
            <w:col w:w="11220"/>
          </w:cols>
          <w:pgMar w:left="320" w:top="604" w:right="359" w:bottom="1440" w:gutter="0" w:footer="0" w:header="0"/>
        </w:sectPr>
      </w:pPr>
    </w:p>
    <w:bookmarkStart w:id="108" w:name="page109"/>
    <w:bookmarkEnd w:id="108"/>
    <w:p>
      <w:pPr>
        <w:ind w:right="160"/>
        <w:spacing w:after="0" w:line="214" w:lineRule="auto"/>
        <w:rPr>
          <w:sz w:val="20"/>
          <w:szCs w:val="20"/>
          <w:color w:val="auto"/>
        </w:rPr>
      </w:pPr>
      <w:r>
        <w:rPr>
          <w:rFonts w:ascii="Arial" w:cs="Arial" w:eastAsia="Arial" w:hAnsi="Arial"/>
          <w:sz w:val="22"/>
          <w:szCs w:val="22"/>
          <w:color w:val="auto"/>
        </w:rPr>
        <w:t>respect to such amount. In the event that there is withholding tax liability in connection with the settlement of the RSUs, if authorized by the Committee in its sole discretion, you may satisfy, in whole or in part, any withholding tax liability by having the Company withhold from the number of Shares or cash you would be entitled to receive upon settlement of the RSUs, an amount in cash or a number of Shares having a Fair Market Value (which shall either have the meaning set forth in the Plan or shall have such other meaning as determined by the Company in accordance with applicable withholding requirements) equal to such withholding tax liability.</w:t>
      </w:r>
    </w:p>
    <w:p>
      <w:pPr>
        <w:spacing w:after="0" w:line="186" w:lineRule="exact"/>
        <w:rPr>
          <w:sz w:val="20"/>
          <w:szCs w:val="20"/>
          <w:color w:val="auto"/>
        </w:rPr>
      </w:pPr>
    </w:p>
    <w:p>
      <w:pPr>
        <w:ind w:right="240" w:firstLine="1304"/>
        <w:spacing w:after="0" w:line="250" w:lineRule="auto"/>
        <w:tabs>
          <w:tab w:leader="none" w:pos="1602"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xml:space="preserve"> Your rights in respect of the RSUs are conditioned on the receipt to the full satisfaction of the Committee of any required consents that the Committee may determine to be necessary or advisable (including your consent to the Company’s supplying to any third-party recordkeeper of the Plan such personal information as the Committee deems advisable to administer the Plan).</w:t>
      </w:r>
    </w:p>
    <w:p>
      <w:pPr>
        <w:spacing w:after="0" w:line="187" w:lineRule="exact"/>
        <w:rPr>
          <w:rFonts w:ascii="Arial" w:cs="Arial" w:eastAsia="Arial" w:hAnsi="Arial"/>
          <w:sz w:val="22"/>
          <w:szCs w:val="22"/>
          <w:color w:val="auto"/>
        </w:rPr>
      </w:pPr>
    </w:p>
    <w:p>
      <w:pPr>
        <w:ind w:right="460" w:firstLine="1304"/>
        <w:spacing w:after="0" w:line="250" w:lineRule="auto"/>
        <w:tabs>
          <w:tab w:leader="none" w:pos="159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xml:space="preserve"> The Company may affix to certificates for Shares issued pursuant to this Award Agreement any legend that the Committee determines to be necessary or advisable (including to reflect any restrictions to which you may be subject under any applicable securities laws). The Company may advise the transfer agent to place a stop order against any legended Shares.</w:t>
      </w:r>
    </w:p>
    <w:p>
      <w:pPr>
        <w:spacing w:after="0" w:line="161" w:lineRule="exact"/>
        <w:rPr>
          <w:sz w:val="20"/>
          <w:szCs w:val="20"/>
          <w:color w:val="auto"/>
        </w:rPr>
      </w:pPr>
    </w:p>
    <w:p>
      <w:pPr>
        <w:ind w:right="500" w:firstLine="1296"/>
        <w:spacing w:after="0" w:line="247" w:lineRule="auto"/>
        <w:rPr>
          <w:sz w:val="20"/>
          <w:szCs w:val="20"/>
          <w:color w:val="auto"/>
        </w:rPr>
      </w:pPr>
      <w:r>
        <w:rPr>
          <w:rFonts w:ascii="Arial" w:cs="Arial" w:eastAsia="Arial" w:hAnsi="Arial"/>
          <w:sz w:val="21"/>
          <w:szCs w:val="21"/>
          <w:color w:val="010000"/>
        </w:rPr>
        <w:t xml:space="preserve">SECTION 8. </w:t>
      </w:r>
      <w:r>
        <w:rPr>
          <w:rFonts w:ascii="Arial" w:cs="Arial" w:eastAsia="Arial" w:hAnsi="Arial"/>
          <w:sz w:val="21"/>
          <w:szCs w:val="21"/>
          <w:u w:val="single" w:color="auto"/>
          <w:color w:val="000000"/>
        </w:rPr>
        <w:t>Successors and Assigns of the Company.</w:t>
      </w:r>
      <w:r>
        <w:rPr>
          <w:rFonts w:ascii="Arial" w:cs="Arial" w:eastAsia="Arial" w:hAnsi="Arial"/>
          <w:sz w:val="21"/>
          <w:szCs w:val="21"/>
          <w:color w:val="010000"/>
        </w:rPr>
        <w:t xml:space="preserve"> </w:t>
      </w:r>
      <w:r>
        <w:rPr>
          <w:rFonts w:ascii="Arial" w:cs="Arial" w:eastAsia="Arial" w:hAnsi="Arial"/>
          <w:sz w:val="21"/>
          <w:szCs w:val="21"/>
          <w:color w:val="000000"/>
        </w:rPr>
        <w:t>The terms and conditions of this Award</w:t>
      </w:r>
      <w:r>
        <w:rPr>
          <w:rFonts w:ascii="Arial" w:cs="Arial" w:eastAsia="Arial" w:hAnsi="Arial"/>
          <w:sz w:val="21"/>
          <w:szCs w:val="21"/>
          <w:color w:val="010000"/>
        </w:rPr>
        <w:t xml:space="preserve"> </w:t>
      </w:r>
      <w:r>
        <w:rPr>
          <w:rFonts w:ascii="Arial" w:cs="Arial" w:eastAsia="Arial" w:hAnsi="Arial"/>
          <w:sz w:val="21"/>
          <w:szCs w:val="21"/>
          <w:color w:val="000000"/>
        </w:rPr>
        <w:t>Agreement shall be binding upon and shall inure to the benefit of the Company and its successors and assigns.</w:t>
      </w:r>
    </w:p>
    <w:p>
      <w:pPr>
        <w:spacing w:after="0" w:line="151" w:lineRule="exact"/>
        <w:rPr>
          <w:sz w:val="20"/>
          <w:szCs w:val="20"/>
          <w:color w:val="auto"/>
        </w:rPr>
      </w:pPr>
    </w:p>
    <w:p>
      <w:pPr>
        <w:jc w:val="both"/>
        <w:ind w:right="20" w:firstLine="1296"/>
        <w:spacing w:after="0" w:line="223" w:lineRule="auto"/>
        <w:rPr>
          <w:sz w:val="20"/>
          <w:szCs w:val="20"/>
          <w:color w:val="auto"/>
        </w:rPr>
      </w:pPr>
      <w:r>
        <w:rPr>
          <w:rFonts w:ascii="Arial" w:cs="Arial" w:eastAsia="Arial" w:hAnsi="Arial"/>
          <w:sz w:val="22"/>
          <w:szCs w:val="22"/>
          <w:color w:val="010000"/>
        </w:rPr>
        <w:t xml:space="preserve">SECTION 9. </w:t>
      </w:r>
      <w:r>
        <w:rPr>
          <w:rFonts w:ascii="Arial" w:cs="Arial" w:eastAsia="Arial" w:hAnsi="Arial"/>
          <w:sz w:val="22"/>
          <w:szCs w:val="22"/>
          <w:u w:val="single" w:color="auto"/>
          <w:color w:val="000000"/>
        </w:rPr>
        <w:t>Committee Discretion.</w:t>
      </w:r>
      <w:r>
        <w:rPr>
          <w:rFonts w:ascii="Arial" w:cs="Arial" w:eastAsia="Arial" w:hAnsi="Arial"/>
          <w:sz w:val="22"/>
          <w:szCs w:val="22"/>
          <w:color w:val="010000"/>
        </w:rPr>
        <w:t xml:space="preserve"> </w:t>
      </w:r>
      <w:r>
        <w:rPr>
          <w:rFonts w:ascii="Arial" w:cs="Arial" w:eastAsia="Arial" w:hAnsi="Arial"/>
          <w:sz w:val="22"/>
          <w:szCs w:val="22"/>
          <w:color w:val="000000"/>
        </w:rPr>
        <w:t>The Compensation Committee of the Board shall have full and</w:t>
      </w:r>
      <w:r>
        <w:rPr>
          <w:rFonts w:ascii="Arial" w:cs="Arial" w:eastAsia="Arial" w:hAnsi="Arial"/>
          <w:sz w:val="22"/>
          <w:szCs w:val="22"/>
          <w:color w:val="010000"/>
        </w:rPr>
        <w:t xml:space="preserve"> </w:t>
      </w:r>
      <w:r>
        <w:rPr>
          <w:rFonts w:ascii="Arial" w:cs="Arial" w:eastAsia="Arial" w:hAnsi="Arial"/>
          <w:sz w:val="22"/>
          <w:szCs w:val="22"/>
          <w:color w:val="000000"/>
        </w:rPr>
        <w:t>plenary discretion with respect to any actions to be taken or determinations to be made in connection with this Award Agreement, and its determinations shall be final, binding and conclusive.</w:t>
      </w:r>
    </w:p>
    <w:p>
      <w:pPr>
        <w:spacing w:after="0" w:line="159" w:lineRule="exact"/>
        <w:rPr>
          <w:sz w:val="20"/>
          <w:szCs w:val="20"/>
          <w:color w:val="auto"/>
        </w:rPr>
      </w:pPr>
    </w:p>
    <w:p>
      <w:pPr>
        <w:ind w:firstLine="1296"/>
        <w:spacing w:after="0" w:line="239" w:lineRule="auto"/>
        <w:rPr>
          <w:sz w:val="20"/>
          <w:szCs w:val="20"/>
          <w:color w:val="auto"/>
        </w:rPr>
      </w:pPr>
      <w:r>
        <w:rPr>
          <w:rFonts w:ascii="Arial" w:cs="Arial" w:eastAsia="Arial" w:hAnsi="Arial"/>
          <w:sz w:val="19"/>
          <w:szCs w:val="19"/>
          <w:color w:val="010000"/>
        </w:rPr>
        <w:t xml:space="preserve">SECTION 10. </w:t>
      </w:r>
      <w:r>
        <w:rPr>
          <w:rFonts w:ascii="Arial" w:cs="Arial" w:eastAsia="Arial" w:hAnsi="Arial"/>
          <w:sz w:val="19"/>
          <w:szCs w:val="19"/>
          <w:u w:val="single" w:color="auto"/>
          <w:color w:val="000000"/>
        </w:rPr>
        <w:t>Dispute Resolution.</w:t>
      </w:r>
      <w:r>
        <w:rPr>
          <w:rFonts w:ascii="Arial" w:cs="Arial" w:eastAsia="Arial" w:hAnsi="Arial"/>
          <w:sz w:val="19"/>
          <w:szCs w:val="19"/>
          <w:color w:val="010000"/>
        </w:rPr>
        <w:t xml:space="preserve"> </w:t>
      </w:r>
      <w:r>
        <w:rPr>
          <w:rFonts w:ascii="Arial" w:cs="Arial" w:eastAsia="Arial" w:hAnsi="Arial"/>
          <w:sz w:val="19"/>
          <w:szCs w:val="19"/>
          <w:color w:val="000000"/>
        </w:rPr>
        <w:t>(a)</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Jurisdiction and Venue.</w:t>
      </w:r>
      <w:r>
        <w:rPr>
          <w:rFonts w:ascii="Arial" w:cs="Arial" w:eastAsia="Arial" w:hAnsi="Arial"/>
          <w:sz w:val="19"/>
          <w:szCs w:val="19"/>
          <w:color w:val="010000"/>
        </w:rPr>
        <w:t xml:space="preserve"> </w:t>
      </w:r>
      <w:r>
        <w:rPr>
          <w:rFonts w:ascii="Arial" w:cs="Arial" w:eastAsia="Arial" w:hAnsi="Arial"/>
          <w:sz w:val="19"/>
          <w:szCs w:val="19"/>
          <w:color w:val="000000"/>
        </w:rPr>
        <w:t>Notwithstanding any provision in</w:t>
      </w:r>
      <w:r>
        <w:rPr>
          <w:rFonts w:ascii="Arial" w:cs="Arial" w:eastAsia="Arial" w:hAnsi="Arial"/>
          <w:sz w:val="19"/>
          <w:szCs w:val="19"/>
          <w:color w:val="010000"/>
        </w:rPr>
        <w:t xml:space="preserve"> </w:t>
      </w:r>
      <w:r>
        <w:rPr>
          <w:rFonts w:ascii="Arial" w:cs="Arial" w:eastAsia="Arial" w:hAnsi="Arial"/>
          <w:sz w:val="19"/>
          <w:szCs w:val="19"/>
          <w:color w:val="000000"/>
        </w:rPr>
        <w:t>your Employment Agreement, you and the Company irrevocably submit to the exclusive jurisdiction of (i) the United States District Court for the Southern District of New York and (ii) the courts of the State of New York for the purposes of any suit, action or other proceeding arising out of this Award Agreement or the Plan. You and the Company agree to commence any such action, suit or proceeding either in the United States District Court for the Southern District of New York or, if such suit, action or other proceeding may not be brought in such court for jurisdictional reasons, in the courts of the State of New York. You and the Company further agree that service of any process, summons, notice or document by U.S. registered mail to the other party’s address set forth below shall be effective service of process for any action, suit or proceeding in New York with respect to any matters to which you have submitted to jurisdiction in this Section 10(a). You and the Company irrevocably and unconditionally waive any objection to the laying of venue of any action, suit or proceeding arising out of this Award Agreement or the Plan in</w:t>
      </w:r>
    </w:p>
    <w:p>
      <w:pPr>
        <w:spacing w:after="0" w:line="2" w:lineRule="exact"/>
        <w:rPr>
          <w:sz w:val="20"/>
          <w:szCs w:val="20"/>
          <w:color w:val="auto"/>
        </w:rPr>
      </w:pPr>
    </w:p>
    <w:p>
      <w:pPr>
        <w:ind w:right="80" w:firstLine="8"/>
        <w:spacing w:after="0" w:line="224" w:lineRule="auto"/>
        <w:tabs>
          <w:tab w:leader="none" w:pos="35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United States District Court for the Southern District of New York or (B) the courts of the State of New York, and hereby and thereby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B-6</w:t>
      </w:r>
    </w:p>
    <w:p>
      <w:pPr>
        <w:sectPr>
          <w:pgSz w:w="11900" w:h="16838" w:orient="portrait"/>
          <w:cols w:equalWidth="0" w:num="1">
            <w:col w:w="11240"/>
          </w:cols>
          <w:pgMar w:left="320" w:top="577" w:right="339" w:bottom="1440" w:gutter="0" w:footer="0" w:header="0"/>
        </w:sectPr>
      </w:pPr>
    </w:p>
    <w:bookmarkStart w:id="109" w:name="page110"/>
    <w:bookmarkEnd w:id="109"/>
    <w:p>
      <w:pPr>
        <w:ind w:right="560"/>
        <w:spacing w:after="0" w:line="232" w:lineRule="auto"/>
        <w:rPr>
          <w:sz w:val="20"/>
          <w:szCs w:val="20"/>
          <w:color w:val="auto"/>
        </w:rPr>
      </w:pPr>
      <w:r>
        <w:rPr>
          <w:rFonts w:ascii="Arial" w:cs="Arial" w:eastAsia="Arial" w:hAnsi="Arial"/>
          <w:sz w:val="22"/>
          <w:szCs w:val="22"/>
          <w:color w:val="auto"/>
        </w:rPr>
        <w:t>further irrevocably and unconditionally waive and agree not to plead or claim in any such court that any such action, suit or proceeding brought in any such court has been brought in an inconvenient forum.</w:t>
      </w:r>
    </w:p>
    <w:p>
      <w:pPr>
        <w:spacing w:after="0" w:line="186" w:lineRule="exact"/>
        <w:rPr>
          <w:sz w:val="20"/>
          <w:szCs w:val="20"/>
          <w:color w:val="auto"/>
        </w:rPr>
      </w:pPr>
    </w:p>
    <w:p>
      <w:pPr>
        <w:ind w:firstLine="1304"/>
        <w:spacing w:after="0" w:line="253" w:lineRule="auto"/>
        <w:tabs>
          <w:tab w:leader="none" w:pos="1602"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xml:space="preserve"> You and the Company hereby waive, to the fullest extent permitted by applicable law, any right either of you may have to a trial by jury in respect to any litigation directly or indirectly arising out of, under or in connection with this Award Agreement or the Plan.</w:t>
      </w:r>
    </w:p>
    <w:p>
      <w:pPr>
        <w:spacing w:after="0" w:line="185" w:lineRule="exact"/>
        <w:rPr>
          <w:rFonts w:ascii="Arial" w:cs="Arial" w:eastAsia="Arial" w:hAnsi="Arial"/>
          <w:sz w:val="22"/>
          <w:szCs w:val="22"/>
          <w:color w:val="auto"/>
        </w:rPr>
      </w:pPr>
    </w:p>
    <w:p>
      <w:pPr>
        <w:ind w:right="280" w:firstLine="1304"/>
        <w:spacing w:after="0" w:line="250" w:lineRule="auto"/>
        <w:tabs>
          <w:tab w:leader="none" w:pos="1590"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xml:space="preserve"> You hereby agree to keep confidential the existence of, and any information concerning, a dispute described in this Section 10, except that you may disclose information concerning such dispute to the court that is considering such dispute or to your legal counsel (provided that such counsel agrees not to disclose any such information other than as necessary to the prosecution or defense of the dispute).</w:t>
      </w:r>
    </w:p>
    <w:p>
      <w:pPr>
        <w:spacing w:after="0" w:line="161" w:lineRule="exact"/>
        <w:rPr>
          <w:sz w:val="20"/>
          <w:szCs w:val="20"/>
          <w:color w:val="auto"/>
        </w:rPr>
      </w:pPr>
    </w:p>
    <w:p>
      <w:pPr>
        <w:ind w:right="200" w:firstLine="1296"/>
        <w:spacing w:after="0" w:line="229" w:lineRule="auto"/>
        <w:rPr>
          <w:sz w:val="20"/>
          <w:szCs w:val="20"/>
          <w:color w:val="auto"/>
        </w:rPr>
      </w:pPr>
      <w:r>
        <w:rPr>
          <w:rFonts w:ascii="Arial" w:cs="Arial" w:eastAsia="Arial" w:hAnsi="Arial"/>
          <w:sz w:val="21"/>
          <w:szCs w:val="21"/>
          <w:color w:val="010000"/>
        </w:rPr>
        <w:t xml:space="preserve">SECTION 11. </w:t>
      </w:r>
      <w:r>
        <w:rPr>
          <w:rFonts w:ascii="Arial" w:cs="Arial" w:eastAsia="Arial" w:hAnsi="Arial"/>
          <w:sz w:val="21"/>
          <w:szCs w:val="21"/>
          <w:u w:val="single" w:color="auto"/>
          <w:color w:val="000000"/>
        </w:rPr>
        <w:t>Notice.</w:t>
      </w:r>
      <w:r>
        <w:rPr>
          <w:rFonts w:ascii="Arial" w:cs="Arial" w:eastAsia="Arial" w:hAnsi="Arial"/>
          <w:sz w:val="21"/>
          <w:szCs w:val="21"/>
          <w:color w:val="010000"/>
        </w:rPr>
        <w:t xml:space="preserve"> </w:t>
      </w:r>
      <w:r>
        <w:rPr>
          <w:rFonts w:ascii="Arial" w:cs="Arial" w:eastAsia="Arial" w:hAnsi="Arial"/>
          <w:sz w:val="21"/>
          <w:szCs w:val="21"/>
          <w:color w:val="000000"/>
        </w:rPr>
        <w:t>All notices, requests, demands and other communications required or</w:t>
      </w:r>
      <w:r>
        <w:rPr>
          <w:rFonts w:ascii="Arial" w:cs="Arial" w:eastAsia="Arial" w:hAnsi="Arial"/>
          <w:sz w:val="21"/>
          <w:szCs w:val="21"/>
          <w:color w:val="010000"/>
        </w:rPr>
        <w:t xml:space="preserve"> </w:t>
      </w:r>
      <w:r>
        <w:rPr>
          <w:rFonts w:ascii="Arial" w:cs="Arial" w:eastAsia="Arial" w:hAnsi="Arial"/>
          <w:sz w:val="21"/>
          <w:szCs w:val="21"/>
          <w:color w:val="000000"/>
        </w:rPr>
        <w:t>permitted to be given under the terms of this Award Agreement shall be in writing and shall be deemed to have been duly given when delivered by hand or overnight courier or three Business Days after they have been mailed by U.S. certified or registered mail, return receipt requested, postage prepaid, addressed to the other party as set forth below:</w:t>
      </w:r>
    </w:p>
    <w:p>
      <w:pPr>
        <w:spacing w:after="0" w:line="334" w:lineRule="exact"/>
        <w:rPr>
          <w:sz w:val="20"/>
          <w:szCs w:val="20"/>
          <w:color w:val="auto"/>
        </w:rPr>
      </w:pPr>
    </w:p>
    <w:tbl>
      <w:tblPr>
        <w:tblLayout w:type="fixed"/>
        <w:tblInd w:w="680" w:type="dxa"/>
        <w:tblCellMar>
          <w:top w:w="0" w:type="dxa"/>
          <w:left w:w="0" w:type="dxa"/>
          <w:bottom w:w="0" w:type="dxa"/>
          <w:right w:w="0" w:type="dxa"/>
        </w:tblCellMar>
      </w:tblPr>
      <w:tr>
        <w:trPr>
          <w:trHeight w:val="257"/>
        </w:trPr>
        <w:tc>
          <w:tcPr>
            <w:tcW w:w="3300" w:type="dxa"/>
            <w:vAlign w:val="bottom"/>
          </w:tcPr>
          <w:p>
            <w:pPr>
              <w:spacing w:after="0"/>
              <w:rPr>
                <w:sz w:val="20"/>
                <w:szCs w:val="20"/>
                <w:color w:val="auto"/>
              </w:rPr>
            </w:pPr>
            <w:r>
              <w:rPr>
                <w:rFonts w:ascii="Arial" w:cs="Arial" w:eastAsia="Arial" w:hAnsi="Arial"/>
                <w:sz w:val="22"/>
                <w:szCs w:val="22"/>
                <w:color w:val="auto"/>
              </w:rPr>
              <w:t>If to the Company:</w:t>
            </w:r>
          </w:p>
        </w:tc>
        <w:tc>
          <w:tcPr>
            <w:tcW w:w="7100" w:type="dxa"/>
            <w:vAlign w:val="bottom"/>
          </w:tcPr>
          <w:p>
            <w:pPr>
              <w:ind w:left="1680"/>
              <w:spacing w:after="0"/>
              <w:rPr>
                <w:sz w:val="20"/>
                <w:szCs w:val="20"/>
                <w:color w:val="auto"/>
              </w:rPr>
            </w:pPr>
            <w:r>
              <w:rPr>
                <w:rFonts w:ascii="Arial" w:cs="Arial" w:eastAsia="Arial" w:hAnsi="Arial"/>
                <w:sz w:val="22"/>
                <w:szCs w:val="22"/>
                <w:color w:val="auto"/>
              </w:rPr>
              <w:t>XPO Logistics, Inc.</w:t>
            </w:r>
          </w:p>
        </w:tc>
      </w:tr>
      <w:tr>
        <w:trPr>
          <w:trHeight w:val="243"/>
        </w:trPr>
        <w:tc>
          <w:tcPr>
            <w:tcW w:w="3300" w:type="dxa"/>
            <w:vAlign w:val="bottom"/>
          </w:tcPr>
          <w:p>
            <w:pPr>
              <w:spacing w:after="0"/>
              <w:rPr>
                <w:sz w:val="21"/>
                <w:szCs w:val="21"/>
                <w:color w:val="auto"/>
              </w:rPr>
            </w:pPr>
          </w:p>
        </w:tc>
        <w:tc>
          <w:tcPr>
            <w:tcW w:w="7100" w:type="dxa"/>
            <w:vAlign w:val="bottom"/>
          </w:tcPr>
          <w:p>
            <w:pPr>
              <w:ind w:left="1680"/>
              <w:spacing w:after="0" w:line="243" w:lineRule="exact"/>
              <w:rPr>
                <w:sz w:val="20"/>
                <w:szCs w:val="20"/>
                <w:color w:val="auto"/>
              </w:rPr>
            </w:pPr>
            <w:r>
              <w:rPr>
                <w:rFonts w:ascii="Arial" w:cs="Arial" w:eastAsia="Arial" w:hAnsi="Arial"/>
                <w:sz w:val="22"/>
                <w:szCs w:val="22"/>
                <w:color w:val="auto"/>
              </w:rPr>
              <w:t>Five American Lane</w:t>
            </w:r>
          </w:p>
        </w:tc>
      </w:tr>
      <w:tr>
        <w:trPr>
          <w:trHeight w:val="243"/>
        </w:trPr>
        <w:tc>
          <w:tcPr>
            <w:tcW w:w="3300" w:type="dxa"/>
            <w:vAlign w:val="bottom"/>
          </w:tcPr>
          <w:p>
            <w:pPr>
              <w:spacing w:after="0"/>
              <w:rPr>
                <w:sz w:val="21"/>
                <w:szCs w:val="21"/>
                <w:color w:val="auto"/>
              </w:rPr>
            </w:pPr>
          </w:p>
        </w:tc>
        <w:tc>
          <w:tcPr>
            <w:tcW w:w="7100" w:type="dxa"/>
            <w:vAlign w:val="bottom"/>
          </w:tcPr>
          <w:p>
            <w:pPr>
              <w:ind w:left="1680"/>
              <w:spacing w:after="0" w:line="243" w:lineRule="exact"/>
              <w:rPr>
                <w:sz w:val="20"/>
                <w:szCs w:val="20"/>
                <w:color w:val="auto"/>
              </w:rPr>
            </w:pPr>
            <w:r>
              <w:rPr>
                <w:rFonts w:ascii="Arial" w:cs="Arial" w:eastAsia="Arial" w:hAnsi="Arial"/>
                <w:sz w:val="22"/>
                <w:szCs w:val="22"/>
                <w:color w:val="auto"/>
              </w:rPr>
              <w:t>Greenwich, CT 06831</w:t>
            </w:r>
          </w:p>
        </w:tc>
      </w:tr>
      <w:tr>
        <w:trPr>
          <w:trHeight w:val="274"/>
        </w:trPr>
        <w:tc>
          <w:tcPr>
            <w:tcW w:w="3300" w:type="dxa"/>
            <w:vAlign w:val="bottom"/>
          </w:tcPr>
          <w:p>
            <w:pPr>
              <w:spacing w:after="0"/>
              <w:rPr>
                <w:sz w:val="23"/>
                <w:szCs w:val="23"/>
                <w:color w:val="auto"/>
              </w:rPr>
            </w:pPr>
          </w:p>
        </w:tc>
        <w:tc>
          <w:tcPr>
            <w:tcW w:w="7100" w:type="dxa"/>
            <w:vAlign w:val="bottom"/>
          </w:tcPr>
          <w:p>
            <w:pPr>
              <w:ind w:left="1680"/>
              <w:spacing w:after="0"/>
              <w:rPr>
                <w:sz w:val="20"/>
                <w:szCs w:val="20"/>
                <w:color w:val="auto"/>
              </w:rPr>
            </w:pPr>
            <w:r>
              <w:rPr>
                <w:rFonts w:ascii="Arial" w:cs="Arial" w:eastAsia="Arial" w:hAnsi="Arial"/>
                <w:sz w:val="22"/>
                <w:szCs w:val="22"/>
                <w:color w:val="auto"/>
              </w:rPr>
              <w:t>Attention: Chief Human Resources Officer</w:t>
            </w:r>
          </w:p>
        </w:tc>
      </w:tr>
      <w:tr>
        <w:trPr>
          <w:trHeight w:val="563"/>
        </w:trPr>
        <w:tc>
          <w:tcPr>
            <w:tcW w:w="3300" w:type="dxa"/>
            <w:vAlign w:val="bottom"/>
          </w:tcPr>
          <w:p>
            <w:pPr>
              <w:spacing w:after="0"/>
              <w:rPr>
                <w:sz w:val="20"/>
                <w:szCs w:val="20"/>
                <w:color w:val="auto"/>
              </w:rPr>
            </w:pPr>
            <w:r>
              <w:rPr>
                <w:rFonts w:ascii="Arial" w:cs="Arial" w:eastAsia="Arial" w:hAnsi="Arial"/>
                <w:sz w:val="22"/>
                <w:szCs w:val="22"/>
                <w:color w:val="auto"/>
              </w:rPr>
              <w:t>If to you:</w:t>
            </w:r>
          </w:p>
        </w:tc>
        <w:tc>
          <w:tcPr>
            <w:tcW w:w="7100" w:type="dxa"/>
            <w:vAlign w:val="bottom"/>
          </w:tcPr>
          <w:p>
            <w:pPr>
              <w:ind w:left="1680"/>
              <w:spacing w:after="0"/>
              <w:rPr>
                <w:sz w:val="20"/>
                <w:szCs w:val="20"/>
                <w:color w:val="auto"/>
              </w:rPr>
            </w:pPr>
            <w:r>
              <w:rPr>
                <w:rFonts w:ascii="Arial" w:cs="Arial" w:eastAsia="Arial" w:hAnsi="Arial"/>
                <w:sz w:val="22"/>
                <w:szCs w:val="22"/>
                <w:color w:val="auto"/>
                <w:w w:val="87"/>
              </w:rPr>
              <w:t>To your address as most recently supplied to the Company and</w:t>
            </w:r>
          </w:p>
        </w:tc>
      </w:tr>
      <w:tr>
        <w:trPr>
          <w:trHeight w:val="274"/>
        </w:trPr>
        <w:tc>
          <w:tcPr>
            <w:tcW w:w="3300" w:type="dxa"/>
            <w:vAlign w:val="bottom"/>
          </w:tcPr>
          <w:p>
            <w:pPr>
              <w:spacing w:after="0"/>
              <w:rPr>
                <w:sz w:val="23"/>
                <w:szCs w:val="23"/>
                <w:color w:val="auto"/>
              </w:rPr>
            </w:pPr>
          </w:p>
        </w:tc>
        <w:tc>
          <w:tcPr>
            <w:tcW w:w="7100" w:type="dxa"/>
            <w:vAlign w:val="bottom"/>
          </w:tcPr>
          <w:p>
            <w:pPr>
              <w:ind w:left="1680"/>
              <w:spacing w:after="0"/>
              <w:rPr>
                <w:sz w:val="20"/>
                <w:szCs w:val="20"/>
                <w:color w:val="auto"/>
              </w:rPr>
            </w:pPr>
            <w:r>
              <w:rPr>
                <w:rFonts w:ascii="Arial" w:cs="Arial" w:eastAsia="Arial" w:hAnsi="Arial"/>
                <w:sz w:val="22"/>
                <w:szCs w:val="22"/>
                <w:color w:val="auto"/>
              </w:rPr>
              <w:t>set forth in the Company’s records</w:t>
            </w:r>
          </w:p>
        </w:tc>
      </w:tr>
    </w:tbl>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The parties may change the address to which notices under this Award Agreement shall be sent by providing written notice to the other in the manner specified above.</w:t>
      </w:r>
    </w:p>
    <w:p>
      <w:pPr>
        <w:spacing w:after="0" w:line="148" w:lineRule="exact"/>
        <w:rPr>
          <w:sz w:val="20"/>
          <w:szCs w:val="20"/>
          <w:color w:val="auto"/>
        </w:rPr>
      </w:pPr>
    </w:p>
    <w:p>
      <w:pPr>
        <w:ind w:right="220" w:firstLine="1296"/>
        <w:spacing w:after="0" w:line="223" w:lineRule="auto"/>
        <w:rPr>
          <w:sz w:val="20"/>
          <w:szCs w:val="20"/>
          <w:color w:val="auto"/>
        </w:rPr>
      </w:pPr>
      <w:r>
        <w:rPr>
          <w:rFonts w:ascii="Arial" w:cs="Arial" w:eastAsia="Arial" w:hAnsi="Arial"/>
          <w:sz w:val="22"/>
          <w:szCs w:val="22"/>
          <w:color w:val="010000"/>
        </w:rPr>
        <w:t xml:space="preserve">SECTION 12. </w:t>
      </w:r>
      <w:r>
        <w:rPr>
          <w:rFonts w:ascii="Arial" w:cs="Arial" w:eastAsia="Arial" w:hAnsi="Arial"/>
          <w:sz w:val="22"/>
          <w:szCs w:val="22"/>
          <w:u w:val="single" w:color="auto"/>
          <w:color w:val="000000"/>
        </w:rPr>
        <w:t>Governing Law.</w:t>
      </w:r>
      <w:r>
        <w:rPr>
          <w:rFonts w:ascii="Arial" w:cs="Arial" w:eastAsia="Arial" w:hAnsi="Arial"/>
          <w:sz w:val="22"/>
          <w:szCs w:val="22"/>
          <w:color w:val="010000"/>
        </w:rPr>
        <w:t xml:space="preserve"> </w:t>
      </w:r>
      <w:r>
        <w:rPr>
          <w:rFonts w:ascii="Arial" w:cs="Arial" w:eastAsia="Arial" w:hAnsi="Arial"/>
          <w:sz w:val="22"/>
          <w:szCs w:val="22"/>
          <w:color w:val="000000"/>
        </w:rPr>
        <w:t>This Award Agreement shall be deemed to be made in the State of</w:t>
      </w:r>
      <w:r>
        <w:rPr>
          <w:rFonts w:ascii="Arial" w:cs="Arial" w:eastAsia="Arial" w:hAnsi="Arial"/>
          <w:sz w:val="22"/>
          <w:szCs w:val="22"/>
          <w:color w:val="010000"/>
        </w:rPr>
        <w:t xml:space="preserve"> </w:t>
      </w:r>
      <w:r>
        <w:rPr>
          <w:rFonts w:ascii="Arial" w:cs="Arial" w:eastAsia="Arial" w:hAnsi="Arial"/>
          <w:sz w:val="22"/>
          <w:szCs w:val="22"/>
          <w:color w:val="000000"/>
        </w:rPr>
        <w:t>Delaware, and the validity, construction and effect of this Award Agreement in all respects shall be determined in accordance with the laws of the State of Delaware, without giving effect to the conflict of law principles thereof.</w:t>
      </w:r>
    </w:p>
    <w:p>
      <w:pPr>
        <w:spacing w:after="0" w:line="159" w:lineRule="exact"/>
        <w:rPr>
          <w:sz w:val="20"/>
          <w:szCs w:val="20"/>
          <w:color w:val="auto"/>
        </w:rPr>
      </w:pPr>
    </w:p>
    <w:p>
      <w:pPr>
        <w:ind w:right="180" w:firstLine="1296"/>
        <w:spacing w:after="0" w:line="216" w:lineRule="auto"/>
        <w:rPr>
          <w:sz w:val="20"/>
          <w:szCs w:val="20"/>
          <w:color w:val="auto"/>
        </w:rPr>
      </w:pPr>
      <w:r>
        <w:rPr>
          <w:rFonts w:ascii="Arial" w:cs="Arial" w:eastAsia="Arial" w:hAnsi="Arial"/>
          <w:sz w:val="22"/>
          <w:szCs w:val="22"/>
          <w:color w:val="010000"/>
        </w:rPr>
        <w:t xml:space="preserve">SECTION 13. </w:t>
      </w:r>
      <w:r>
        <w:rPr>
          <w:rFonts w:ascii="Arial" w:cs="Arial" w:eastAsia="Arial" w:hAnsi="Arial"/>
          <w:sz w:val="22"/>
          <w:szCs w:val="22"/>
          <w:u w:val="single" w:color="auto"/>
          <w:color w:val="000000"/>
        </w:rPr>
        <w:t>Headings and Construction.</w:t>
      </w:r>
      <w:r>
        <w:rPr>
          <w:rFonts w:ascii="Arial" w:cs="Arial" w:eastAsia="Arial" w:hAnsi="Arial"/>
          <w:sz w:val="22"/>
          <w:szCs w:val="22"/>
          <w:color w:val="010000"/>
        </w:rPr>
        <w:t xml:space="preserve"> </w:t>
      </w:r>
      <w:r>
        <w:rPr>
          <w:rFonts w:ascii="Arial" w:cs="Arial" w:eastAsia="Arial" w:hAnsi="Arial"/>
          <w:sz w:val="22"/>
          <w:szCs w:val="22"/>
          <w:color w:val="000000"/>
        </w:rPr>
        <w:t>Headings are given to the Sections and subsections of</w:t>
      </w:r>
      <w:r>
        <w:rPr>
          <w:rFonts w:ascii="Arial" w:cs="Arial" w:eastAsia="Arial" w:hAnsi="Arial"/>
          <w:sz w:val="22"/>
          <w:szCs w:val="22"/>
          <w:color w:val="010000"/>
        </w:rPr>
        <w:t xml:space="preserve"> </w:t>
      </w:r>
      <w:r>
        <w:rPr>
          <w:rFonts w:ascii="Arial" w:cs="Arial" w:eastAsia="Arial" w:hAnsi="Arial"/>
          <w:sz w:val="22"/>
          <w:szCs w:val="22"/>
          <w:color w:val="000000"/>
        </w:rPr>
        <w:t>this Award Agreement solely as a convenience to facilitate reference. Such headings shall not be deemed in any way material or relevant to the construction or interpretation of this Award Agreement or any provision thereof. Whenever the words “include”, “includes” or “including” are used in this Award Agreement, they shall be deemed to be followed by the words “but not limited to”. The term “or” is not exclusive.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B-7</w:t>
      </w:r>
    </w:p>
    <w:p>
      <w:pPr>
        <w:sectPr>
          <w:pgSz w:w="11900" w:h="16838" w:orient="portrait"/>
          <w:cols w:equalWidth="0" w:num="1">
            <w:col w:w="11240"/>
          </w:cols>
          <w:pgMar w:left="320" w:top="577" w:right="339" w:bottom="1440" w:gutter="0" w:footer="0" w:header="0"/>
        </w:sectPr>
      </w:pPr>
    </w:p>
    <w:bookmarkStart w:id="110" w:name="page111"/>
    <w:bookmarkEnd w:id="110"/>
    <w:p>
      <w:pPr>
        <w:ind w:right="40" w:firstLine="1296"/>
        <w:spacing w:after="0" w:line="212" w:lineRule="auto"/>
        <w:rPr>
          <w:sz w:val="20"/>
          <w:szCs w:val="20"/>
          <w:color w:val="auto"/>
        </w:rPr>
      </w:pPr>
      <w:r>
        <w:rPr>
          <w:rFonts w:ascii="Arial" w:cs="Arial" w:eastAsia="Arial" w:hAnsi="Arial"/>
          <w:sz w:val="22"/>
          <w:szCs w:val="22"/>
          <w:color w:val="010000"/>
        </w:rPr>
        <w:t xml:space="preserve">SECTION 14. </w:t>
      </w:r>
      <w:r>
        <w:rPr>
          <w:rFonts w:ascii="Arial" w:cs="Arial" w:eastAsia="Arial" w:hAnsi="Arial"/>
          <w:sz w:val="22"/>
          <w:szCs w:val="22"/>
          <w:u w:val="single" w:color="auto"/>
          <w:color w:val="000000"/>
        </w:rPr>
        <w:t>Amendment of this Award Agreement.</w:t>
      </w:r>
      <w:r>
        <w:rPr>
          <w:rFonts w:ascii="Arial" w:cs="Arial" w:eastAsia="Arial" w:hAnsi="Arial"/>
          <w:sz w:val="22"/>
          <w:szCs w:val="22"/>
          <w:color w:val="010000"/>
        </w:rPr>
        <w:t xml:space="preserve"> </w:t>
      </w:r>
      <w:r>
        <w:rPr>
          <w:rFonts w:ascii="Arial" w:cs="Arial" w:eastAsia="Arial" w:hAnsi="Arial"/>
          <w:sz w:val="22"/>
          <w:szCs w:val="22"/>
          <w:color w:val="000000"/>
        </w:rPr>
        <w:t>The Committee may waive any conditions or</w:t>
      </w:r>
      <w:r>
        <w:rPr>
          <w:rFonts w:ascii="Arial" w:cs="Arial" w:eastAsia="Arial" w:hAnsi="Arial"/>
          <w:sz w:val="22"/>
          <w:szCs w:val="22"/>
          <w:color w:val="010000"/>
        </w:rPr>
        <w:t xml:space="preserve"> </w:t>
      </w:r>
      <w:r>
        <w:rPr>
          <w:rFonts w:ascii="Arial" w:cs="Arial" w:eastAsia="Arial" w:hAnsi="Arial"/>
          <w:sz w:val="22"/>
          <w:szCs w:val="22"/>
          <w:color w:val="000000"/>
        </w:rPr>
        <w:t xml:space="preserve">rights under, amend any terms of, or alter, suspend, discontinue, cancel or terminate this Award Agreement prospectively or retroactively; </w:t>
      </w:r>
      <w:r>
        <w:rPr>
          <w:rFonts w:ascii="Arial" w:cs="Arial" w:eastAsia="Arial" w:hAnsi="Arial"/>
          <w:sz w:val="22"/>
          <w:szCs w:val="22"/>
          <w:u w:val="single" w:color="auto"/>
          <w:color w:val="000000"/>
        </w:rPr>
        <w:t>provided</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however</w:t>
      </w:r>
      <w:r>
        <w:rPr>
          <w:rFonts w:ascii="Arial" w:cs="Arial" w:eastAsia="Arial" w:hAnsi="Arial"/>
          <w:sz w:val="22"/>
          <w:szCs w:val="22"/>
          <w:color w:val="000000"/>
        </w:rPr>
        <w:t>, that, except as set forth in Section 15(d) of this Award Agreement, any such waiver, amendment, alteration, suspension, discontinuance, cancelation or termination that would materially and adversely impair your rights under this Award Agreement shall not to that extent be effective without your consent (it being understood, notwithstanding the foregoing proviso, that this Award Agreement and the RSUs shall be subject to the provisions of Section 7(c) of the Plan).</w:t>
      </w:r>
    </w:p>
    <w:p>
      <w:pPr>
        <w:spacing w:after="0" w:line="164" w:lineRule="exact"/>
        <w:rPr>
          <w:sz w:val="20"/>
          <w:szCs w:val="20"/>
          <w:color w:val="auto"/>
        </w:rPr>
      </w:pPr>
    </w:p>
    <w:p>
      <w:pPr>
        <w:jc w:val="both"/>
        <w:ind w:right="20" w:firstLine="1296"/>
        <w:spacing w:after="0" w:line="223" w:lineRule="auto"/>
        <w:rPr>
          <w:sz w:val="20"/>
          <w:szCs w:val="20"/>
          <w:color w:val="auto"/>
        </w:rPr>
      </w:pPr>
      <w:r>
        <w:rPr>
          <w:rFonts w:ascii="Arial" w:cs="Arial" w:eastAsia="Arial" w:hAnsi="Arial"/>
          <w:sz w:val="22"/>
          <w:szCs w:val="22"/>
          <w:color w:val="010000"/>
        </w:rPr>
        <w:t xml:space="preserve">SECTION 15. </w:t>
      </w:r>
      <w:r>
        <w:rPr>
          <w:rFonts w:ascii="Arial" w:cs="Arial" w:eastAsia="Arial" w:hAnsi="Arial"/>
          <w:sz w:val="22"/>
          <w:szCs w:val="22"/>
          <w:u w:val="single" w:color="auto"/>
          <w:color w:val="000000"/>
        </w:rPr>
        <w:t>Section 409A.</w:t>
      </w:r>
      <w:r>
        <w:rPr>
          <w:rFonts w:ascii="Arial" w:cs="Arial" w:eastAsia="Arial" w:hAnsi="Arial"/>
          <w:sz w:val="22"/>
          <w:szCs w:val="22"/>
          <w:color w:val="010000"/>
        </w:rPr>
        <w:t xml:space="preserve"> </w:t>
      </w:r>
      <w:r>
        <w:rPr>
          <w:rFonts w:ascii="Arial" w:cs="Arial" w:eastAsia="Arial" w:hAnsi="Arial"/>
          <w:sz w:val="22"/>
          <w:szCs w:val="22"/>
          <w:color w:val="000000"/>
        </w:rPr>
        <w:t>(a) It is intended that the provisions of this Award Agreement comply</w:t>
      </w:r>
      <w:r>
        <w:rPr>
          <w:rFonts w:ascii="Arial" w:cs="Arial" w:eastAsia="Arial" w:hAnsi="Arial"/>
          <w:sz w:val="22"/>
          <w:szCs w:val="22"/>
          <w:color w:val="010000"/>
        </w:rPr>
        <w:t xml:space="preserve"> </w:t>
      </w:r>
      <w:r>
        <w:rPr>
          <w:rFonts w:ascii="Arial" w:cs="Arial" w:eastAsia="Arial" w:hAnsi="Arial"/>
          <w:sz w:val="22"/>
          <w:szCs w:val="22"/>
          <w:color w:val="000000"/>
        </w:rPr>
        <w:t>with Section 409A, and all provisions of this Award Agreement shall be construed and interpreted in a manner consistent with the requirements for avoiding taxes or penalties under Section 409A.</w:t>
      </w:r>
    </w:p>
    <w:p>
      <w:pPr>
        <w:spacing w:after="0" w:line="186" w:lineRule="exact"/>
        <w:rPr>
          <w:sz w:val="20"/>
          <w:szCs w:val="20"/>
          <w:color w:val="auto"/>
        </w:rPr>
      </w:pPr>
    </w:p>
    <w:p>
      <w:pPr>
        <w:ind w:right="20" w:firstLine="1304"/>
        <w:spacing w:after="0" w:line="263" w:lineRule="auto"/>
        <w:tabs>
          <w:tab w:leader="none" w:pos="1602" w:val="left"/>
        </w:tabs>
        <w:numPr>
          <w:ilvl w:val="0"/>
          <w:numId w:val="114"/>
        </w:numPr>
        <w:rPr>
          <w:rFonts w:ascii="Arial" w:cs="Arial" w:eastAsia="Arial" w:hAnsi="Arial"/>
          <w:sz w:val="21"/>
          <w:szCs w:val="21"/>
          <w:color w:val="auto"/>
        </w:rPr>
      </w:pPr>
      <w:r>
        <w:rPr>
          <w:rFonts w:ascii="Arial" w:cs="Arial" w:eastAsia="Arial" w:hAnsi="Arial"/>
          <w:sz w:val="21"/>
          <w:szCs w:val="21"/>
          <w:color w:val="auto"/>
        </w:rPr>
        <w:t>Neither you nor any of your creditors or beneficiaries shall have the right to subject any deferred compensation (within the meaning of Section 409A) payable under this Award Agreement to any anticipation, alienation, sale, transfer, assignment, pledge, encumbrance, attachment or garnishment. Except as permitted under Section 409A, any deferred compensation (within the meaning of Section 409A) payable to you or for your benefit under this Award Agreement may not be reduced by, or offset against, any amount owing by you to the Company or any of its Affiliates.</w:t>
      </w:r>
    </w:p>
    <w:p>
      <w:pPr>
        <w:spacing w:after="0" w:line="175" w:lineRule="exact"/>
        <w:rPr>
          <w:rFonts w:ascii="Arial" w:cs="Arial" w:eastAsia="Arial" w:hAnsi="Arial"/>
          <w:sz w:val="21"/>
          <w:szCs w:val="21"/>
          <w:color w:val="auto"/>
        </w:rPr>
      </w:pPr>
    </w:p>
    <w:p>
      <w:pPr>
        <w:ind w:right="60" w:firstLine="1304"/>
        <w:spacing w:after="0" w:line="290" w:lineRule="auto"/>
        <w:tabs>
          <w:tab w:leader="none" w:pos="159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If, at the time of your separation from service (within the meaning of Section 409A), (i) you shall be a specified employee (within the meaning of Section 409A and using the identification methodology selected by the Company from time to time) and (ii) 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(except as otherwise provided in your Employment Agreement), on the first Business Day after such six-month period. For purposes of Section 409A, each payment hereunder will be deemed to be a separate payment as permitted under Treasury Regulation Section 1.409A-2(b)(2)(iii).</w:t>
      </w:r>
    </w:p>
    <w:p>
      <w:pPr>
        <w:spacing w:after="0" w:line="155" w:lineRule="exact"/>
        <w:rPr>
          <w:rFonts w:ascii="Arial" w:cs="Arial" w:eastAsia="Arial" w:hAnsi="Arial"/>
          <w:sz w:val="19"/>
          <w:szCs w:val="19"/>
          <w:color w:val="auto"/>
        </w:rPr>
      </w:pPr>
    </w:p>
    <w:p>
      <w:pPr>
        <w:ind w:firstLine="1304"/>
        <w:spacing w:after="0" w:line="294" w:lineRule="auto"/>
        <w:tabs>
          <w:tab w:leader="none" w:pos="1602" w:val="left"/>
        </w:tabs>
        <w:numPr>
          <w:ilvl w:val="0"/>
          <w:numId w:val="114"/>
        </w:numPr>
        <w:rPr>
          <w:rFonts w:ascii="Arial" w:cs="Arial" w:eastAsia="Arial" w:hAnsi="Arial"/>
          <w:sz w:val="19"/>
          <w:szCs w:val="19"/>
          <w:color w:val="auto"/>
        </w:rPr>
      </w:pPr>
      <w:r>
        <w:rPr>
          <w:rFonts w:ascii="Arial" w:cs="Arial" w:eastAsia="Arial" w:hAnsi="Arial"/>
          <w:sz w:val="19"/>
          <w:szCs w:val="19"/>
          <w:color w:val="auto"/>
        </w:rPr>
        <w:t>Notwithstanding any provision of this Award Agreement to the contrary, in light of the uncertainty with respect to the proper application of Section 409A, the Company reserves the right to make amendments to this Award Agreement as the Company deems necessary or desirable to avoid the imposition of taxes or penalties under Section 409A. In any case, you shall be solely responsible and liable for the satisfaction of all taxes and penalties that may be imposed on you or for your account in connection with this Award Agreement (including any taxes and penalties under Section 409A), and neither the Company nor any of its Affiliates shall have any obligation to indemnify or otherwise hold you harmless from any or all of such taxes or penalties.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B-8</w:t>
      </w:r>
    </w:p>
    <w:p>
      <w:pPr>
        <w:sectPr>
          <w:pgSz w:w="11900" w:h="16838" w:orient="portrait"/>
          <w:cols w:equalWidth="0" w:num="1">
            <w:col w:w="11240"/>
          </w:cols>
          <w:pgMar w:left="320" w:top="577" w:right="339" w:bottom="1440" w:gutter="0" w:footer="0" w:header="0"/>
        </w:sectPr>
      </w:pPr>
    </w:p>
    <w:bookmarkStart w:id="111" w:name="page112"/>
    <w:bookmarkEnd w:id="111"/>
    <w:p>
      <w:pPr>
        <w:ind w:right="100" w:firstLine="1296"/>
        <w:spacing w:after="0" w:line="218" w:lineRule="auto"/>
        <w:rPr>
          <w:sz w:val="20"/>
          <w:szCs w:val="20"/>
          <w:color w:val="auto"/>
        </w:rPr>
      </w:pPr>
      <w:r>
        <w:rPr>
          <w:rFonts w:ascii="Arial" w:cs="Arial" w:eastAsia="Arial" w:hAnsi="Arial"/>
          <w:sz w:val="22"/>
          <w:szCs w:val="22"/>
          <w:color w:val="010000"/>
        </w:rPr>
        <w:t xml:space="preserve">SECTION 16. </w:t>
      </w:r>
      <w:r>
        <w:rPr>
          <w:rFonts w:ascii="Arial" w:cs="Arial" w:eastAsia="Arial" w:hAnsi="Arial"/>
          <w:sz w:val="22"/>
          <w:szCs w:val="22"/>
          <w:u w:val="single" w:color="auto"/>
          <w:color w:val="000000"/>
        </w:rPr>
        <w:t>Counterparts.</w:t>
      </w:r>
      <w:r>
        <w:rPr>
          <w:rFonts w:ascii="Arial" w:cs="Arial" w:eastAsia="Arial" w:hAnsi="Arial"/>
          <w:sz w:val="22"/>
          <w:szCs w:val="22"/>
          <w:color w:val="010000"/>
        </w:rPr>
        <w:t xml:space="preserve"> </w:t>
      </w:r>
      <w:r>
        <w:rPr>
          <w:rFonts w:ascii="Arial" w:cs="Arial" w:eastAsia="Arial" w:hAnsi="Arial"/>
          <w:sz w:val="22"/>
          <w:szCs w:val="22"/>
          <w:color w:val="000000"/>
        </w:rPr>
        <w:t>This Award Agreement may be signed in counterparts, each of which</w:t>
      </w:r>
      <w:r>
        <w:rPr>
          <w:rFonts w:ascii="Arial" w:cs="Arial" w:eastAsia="Arial" w:hAnsi="Arial"/>
          <w:sz w:val="22"/>
          <w:szCs w:val="22"/>
          <w:color w:val="010000"/>
        </w:rPr>
        <w:t xml:space="preserve"> </w:t>
      </w:r>
      <w:r>
        <w:rPr>
          <w:rFonts w:ascii="Arial" w:cs="Arial" w:eastAsia="Arial" w:hAnsi="Arial"/>
          <w:sz w:val="22"/>
          <w:szCs w:val="22"/>
          <w:color w:val="000000"/>
        </w:rPr>
        <w:t>shall be an original, with the same effect as if the signatures thereto and hereto were upon the same instrument. You and the Company hereby acknowledge and agree that signatures delivered by facsimile or electronic means (including by “pdf”) shall be deemed effective for all purposes.</w:t>
      </w:r>
    </w:p>
    <w:p>
      <w:pPr>
        <w:spacing w:after="0" w:line="161" w:lineRule="exact"/>
        <w:rPr>
          <w:sz w:val="20"/>
          <w:szCs w:val="20"/>
          <w:color w:val="auto"/>
        </w:rPr>
      </w:pPr>
    </w:p>
    <w:p>
      <w:pPr>
        <w:ind w:firstLine="1296"/>
        <w:spacing w:after="0"/>
        <w:rPr>
          <w:sz w:val="20"/>
          <w:szCs w:val="20"/>
          <w:color w:val="auto"/>
        </w:rPr>
      </w:pPr>
      <w:r>
        <w:rPr>
          <w:rFonts w:ascii="Arial" w:cs="Arial" w:eastAsia="Arial" w:hAnsi="Arial"/>
          <w:sz w:val="19"/>
          <w:szCs w:val="19"/>
          <w:color w:val="010000"/>
        </w:rPr>
        <w:t xml:space="preserve">SECTION 17. </w:t>
      </w:r>
      <w:r>
        <w:rPr>
          <w:rFonts w:ascii="Arial" w:cs="Arial" w:eastAsia="Arial" w:hAnsi="Arial"/>
          <w:sz w:val="19"/>
          <w:szCs w:val="19"/>
          <w:u w:val="single" w:color="auto"/>
          <w:color w:val="000000"/>
        </w:rPr>
        <w:t>Section 280G</w:t>
      </w:r>
      <w:r>
        <w:rPr>
          <w:rFonts w:ascii="Arial" w:cs="Arial" w:eastAsia="Arial" w:hAnsi="Arial"/>
          <w:sz w:val="19"/>
          <w:szCs w:val="19"/>
          <w:color w:val="000000"/>
        </w:rPr>
        <w:t>. Notwithstanding anything in this Award Agreement to the contrary</w:t>
      </w:r>
      <w:r>
        <w:rPr>
          <w:rFonts w:ascii="Arial" w:cs="Arial" w:eastAsia="Arial" w:hAnsi="Arial"/>
          <w:sz w:val="19"/>
          <w:szCs w:val="19"/>
          <w:color w:val="010000"/>
        </w:rPr>
        <w:t xml:space="preserve"> </w:t>
      </w:r>
      <w:r>
        <w:rPr>
          <w:rFonts w:ascii="Arial" w:cs="Arial" w:eastAsia="Arial" w:hAnsi="Arial"/>
          <w:sz w:val="19"/>
          <w:szCs w:val="19"/>
          <w:color w:val="000000"/>
        </w:rPr>
        <w:t>and regardless of whether this Award Agreement has otherwise expired or terminated, unless otherwise provided in your Employment Agreement, in the event that any payments, distributions, benefits or entitlements of any type payable to you (“</w:t>
      </w:r>
      <w:r>
        <w:rPr>
          <w:rFonts w:ascii="Arial" w:cs="Arial" w:eastAsia="Arial" w:hAnsi="Arial"/>
          <w:sz w:val="19"/>
          <w:szCs w:val="19"/>
          <w:u w:val="single" w:color="auto"/>
          <w:color w:val="000000"/>
        </w:rPr>
        <w:t>CIC</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Benefits</w:t>
      </w:r>
      <w:r>
        <w:rPr>
          <w:rFonts w:ascii="Arial" w:cs="Arial" w:eastAsia="Arial" w:hAnsi="Arial"/>
          <w:sz w:val="19"/>
          <w:szCs w:val="19"/>
          <w:color w:val="000000"/>
        </w:rPr>
        <w:t>”) (i) constitute “parachute payments” within the meaning of Section 280G of the Code, and (ii) but for this paragraph would be subject to the excise tax imposed by Section 4999 of the Code (the “</w:t>
      </w:r>
      <w:r>
        <w:rPr>
          <w:rFonts w:ascii="Arial" w:cs="Arial" w:eastAsia="Arial" w:hAnsi="Arial"/>
          <w:sz w:val="19"/>
          <w:szCs w:val="19"/>
          <w:u w:val="single" w:color="auto"/>
          <w:color w:val="000000"/>
        </w:rPr>
        <w:t>Excise Tax</w:t>
      </w:r>
      <w:r>
        <w:rPr>
          <w:rFonts w:ascii="Arial" w:cs="Arial" w:eastAsia="Arial" w:hAnsi="Arial"/>
          <w:sz w:val="19"/>
          <w:szCs w:val="19"/>
          <w:color w:val="000000"/>
        </w:rPr>
        <w:t>”), then your CIC Benefits shall be reduced to such lesser amount (the “</w:t>
      </w:r>
      <w:r>
        <w:rPr>
          <w:rFonts w:ascii="Arial" w:cs="Arial" w:eastAsia="Arial" w:hAnsi="Arial"/>
          <w:sz w:val="19"/>
          <w:szCs w:val="19"/>
          <w:u w:val="single" w:color="auto"/>
          <w:color w:val="000000"/>
        </w:rPr>
        <w:t>Reduced Amount</w:t>
      </w:r>
      <w:r>
        <w:rPr>
          <w:rFonts w:ascii="Arial" w:cs="Arial" w:eastAsia="Arial" w:hAnsi="Arial"/>
          <w:sz w:val="19"/>
          <w:szCs w:val="19"/>
          <w:color w:val="000000"/>
        </w:rPr>
        <w:t xml:space="preserve">”) that would result in no portion of such benefits being subject to the Excise Tax;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such amounts shall not be so reduced if the Company determines, based on the advice of Golden Parachute Tax Solutions LLC, or such other nationally recognized certified public accounting firm as may be designated by the Company (the “</w:t>
      </w:r>
      <w:r>
        <w:rPr>
          <w:rFonts w:ascii="Arial" w:cs="Arial" w:eastAsia="Arial" w:hAnsi="Arial"/>
          <w:sz w:val="19"/>
          <w:szCs w:val="19"/>
          <w:u w:val="single" w:color="auto"/>
          <w:color w:val="000000"/>
        </w:rPr>
        <w:t>Accounting Firm</w:t>
      </w:r>
      <w:r>
        <w:rPr>
          <w:rFonts w:ascii="Arial" w:cs="Arial" w:eastAsia="Arial" w:hAnsi="Arial"/>
          <w:sz w:val="19"/>
          <w:szCs w:val="19"/>
          <w:color w:val="000000"/>
        </w:rPr>
        <w:t>”), that without such reduction you would be entitled to receive and retain, on a net after tax basis (including, without limitation, any excise taxes payable under Section 4999 of the Code), an amount that is greater than the amount, on a net after tax basis, that you would be entitled to retain upon receipt of the Reduced Amount. Unless the Company and you otherwise agree in writing, any determination required under this Section 17 shall be made in writing in good faith by the Accounting Firm. In the event of a reduction of benefits hereunder, benefits shall be reduced by first reducing or eliminating the portion of the CIC Benefits that are payable under this Award Agreement and then by reducing or eliminating the portion of the CIC Benefits that are payable in cash and then by reducing or eliminating the non-cash portion of the CIC Benefits, in each case, in reverse order beginning with payments or benefits which are to be paid the furthest in the future. For purposes of making the calculations required by this Section 17, the Accounting Firm may make reasonable assumptions and approximations concerning applicable taxes and may rely on reasonable, good faith interpretations concerning the application of the Code, and other applicable legal authority. The Company and you shall furnish to the Accounting Firm such information and documents as the Accounting Firm may reasonably require in order to make a determination under this Section 17, and the Company shall bear the cost of all fees the Accounting Firm charges in connection with any calculations contemplated by this Section 17. In connection with making determinations under this Section 17, the Accounting Firm shall take into account the value of any reasonable compensation for services to be rendered by you before or after the Change of Control, including any non-competition provisions that may apply to you and the Company shall cooperate in the valuation of any such services, including any non-competition provisions.</w:t>
      </w:r>
    </w:p>
    <w:p>
      <w:pPr>
        <w:spacing w:after="0" w:line="372" w:lineRule="exact"/>
        <w:rPr>
          <w:sz w:val="20"/>
          <w:szCs w:val="20"/>
          <w:color w:val="auto"/>
        </w:rPr>
      </w:pPr>
    </w:p>
    <w:p>
      <w:pPr>
        <w:ind w:right="340" w:firstLine="1296"/>
        <w:spacing w:after="0" w:line="234" w:lineRule="auto"/>
        <w:rPr>
          <w:sz w:val="20"/>
          <w:szCs w:val="20"/>
          <w:color w:val="auto"/>
        </w:rPr>
      </w:pPr>
      <w:r>
        <w:rPr>
          <w:rFonts w:ascii="Arial" w:cs="Arial" w:eastAsia="Arial" w:hAnsi="Arial"/>
          <w:sz w:val="21"/>
          <w:szCs w:val="21"/>
          <w:color w:val="010000"/>
        </w:rPr>
        <w:t xml:space="preserve">SECTION 18. </w:t>
      </w:r>
      <w:r>
        <w:rPr>
          <w:rFonts w:ascii="Arial" w:cs="Arial" w:eastAsia="Arial" w:hAnsi="Arial"/>
          <w:sz w:val="21"/>
          <w:szCs w:val="21"/>
          <w:u w:val="single" w:color="auto"/>
          <w:color w:val="000000"/>
        </w:rPr>
        <w:t>Trade Monitoring Policy.</w:t>
      </w:r>
      <w:r>
        <w:rPr>
          <w:rFonts w:ascii="Arial" w:cs="Arial" w:eastAsia="Arial" w:hAnsi="Arial"/>
          <w:sz w:val="21"/>
          <w:szCs w:val="21"/>
          <w:color w:val="010000"/>
        </w:rPr>
        <w:t xml:space="preserve"> </w:t>
      </w:r>
      <w:r>
        <w:rPr>
          <w:rFonts w:ascii="Arial" w:cs="Arial" w:eastAsia="Arial" w:hAnsi="Arial"/>
          <w:sz w:val="21"/>
          <w:szCs w:val="21"/>
          <w:color w:val="000000"/>
        </w:rPr>
        <w:t>You are required to maintain a securities brokerage</w:t>
      </w:r>
      <w:r>
        <w:rPr>
          <w:rFonts w:ascii="Arial" w:cs="Arial" w:eastAsia="Arial" w:hAnsi="Arial"/>
          <w:sz w:val="21"/>
          <w:szCs w:val="21"/>
          <w:color w:val="010000"/>
        </w:rPr>
        <w:t xml:space="preserve"> </w:t>
      </w:r>
      <w:r>
        <w:rPr>
          <w:rFonts w:ascii="Arial" w:cs="Arial" w:eastAsia="Arial" w:hAnsi="Arial"/>
          <w:sz w:val="21"/>
          <w:szCs w:val="21"/>
          <w:color w:val="000000"/>
        </w:rPr>
        <w:t>account with the Company’s preferred broker in order to receive any Shares issuable under this Award, in accordance with the Company securities trade monitoring policy (the “Trade Monitoring Policy”). The Company’s preferred broker is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B-9</w:t>
      </w:r>
    </w:p>
    <w:p>
      <w:pPr>
        <w:sectPr>
          <w:pgSz w:w="11900" w:h="16838" w:orient="portrait"/>
          <w:cols w:equalWidth="0" w:num="1">
            <w:col w:w="11240"/>
          </w:cols>
          <w:pgMar w:left="320" w:top="577" w:right="339" w:bottom="1440" w:gutter="0" w:footer="0" w:header="0"/>
        </w:sectPr>
      </w:pPr>
    </w:p>
    <w:bookmarkStart w:id="112" w:name="page113"/>
    <w:bookmarkEnd w:id="112"/>
    <w:p>
      <w:pPr>
        <w:spacing w:after="0" w:line="252" w:lineRule="auto"/>
        <w:rPr>
          <w:sz w:val="20"/>
          <w:szCs w:val="20"/>
          <w:color w:val="auto"/>
        </w:rPr>
      </w:pPr>
      <w:r>
        <w:rPr>
          <w:rFonts w:ascii="Arial" w:cs="Arial" w:eastAsia="Arial" w:hAnsi="Arial"/>
          <w:sz w:val="19"/>
          <w:szCs w:val="19"/>
          <w:color w:val="auto"/>
        </w:rPr>
        <w:t>currently Morgan Stanley. Any Shares issued to you pursuant to this Award Agreement shall be deposited in your account with the Company’s preferred broker in accordance with the terms set forth herein. You hereby acknowledge that you have reviewed, and agree to comply with, the terms of the Trade Monitoring Policy, and that this Award, and the value of any Shares issued pursuant to this Award Agreement, shall be subject to forfeiture or recoupment by the Company, as applicable, in the event of your noncompliance with the Trade Monitoring Policy, as it may be in effect from time to time.</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B-10</w:t>
      </w:r>
    </w:p>
    <w:p>
      <w:pPr>
        <w:sectPr>
          <w:pgSz w:w="11900" w:h="16838" w:orient="portrait"/>
          <w:cols w:equalWidth="0" w:num="1">
            <w:col w:w="11140"/>
          </w:cols>
          <w:pgMar w:left="320" w:top="577" w:right="439" w:bottom="1440" w:gutter="0" w:footer="0" w:header="0"/>
        </w:sectPr>
      </w:pPr>
    </w:p>
    <w:bookmarkStart w:id="113" w:name="page114"/>
    <w:bookmarkEnd w:id="113"/>
    <w:p>
      <w:pPr>
        <w:ind w:left="180"/>
        <w:spacing w:after="0"/>
        <w:rPr>
          <w:sz w:val="20"/>
          <w:szCs w:val="20"/>
          <w:color w:val="auto"/>
        </w:rPr>
      </w:pPr>
      <w:r>
        <w:rPr>
          <w:rFonts w:ascii="Arial" w:cs="Arial" w:eastAsia="Arial" w:hAnsi="Arial"/>
          <w:sz w:val="19"/>
          <w:szCs w:val="19"/>
          <w:color w:val="auto"/>
        </w:rPr>
        <w:t>The parties have duly executed this Award Agreement as of the date first written above.</w:t>
      </w:r>
    </w:p>
    <w:p>
      <w:pPr>
        <w:sectPr>
          <w:pgSz w:w="11900" w:h="16838" w:orient="portrait"/>
          <w:cols w:equalWidth="0" w:num="1">
            <w:col w:w="9019"/>
          </w:cols>
          <w:pgMar w:left="1440" w:top="6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XPO LOGISTICS, INC.</w:t>
      </w:r>
    </w:p>
    <w:p>
      <w:pPr>
        <w:spacing w:after="0" w:line="200" w:lineRule="exact"/>
        <w:rPr>
          <w:sz w:val="20"/>
          <w:szCs w:val="20"/>
          <w:color w:val="auto"/>
        </w:rPr>
      </w:pPr>
    </w:p>
    <w:p>
      <w:pPr>
        <w:spacing w:after="0" w:line="249"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229870</wp:posOffset>
            </wp:positionV>
            <wp:extent cx="19545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62"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Name: Meghan Henson</w:t>
      </w:r>
    </w:p>
    <w:p>
      <w:pPr>
        <w:spacing w:after="0" w:line="44" w:lineRule="exact"/>
        <w:rPr>
          <w:sz w:val="20"/>
          <w:szCs w:val="20"/>
          <w:color w:val="auto"/>
        </w:rPr>
      </w:pPr>
    </w:p>
    <w:p>
      <w:pPr>
        <w:ind w:left="3400"/>
        <w:spacing w:after="0"/>
        <w:rPr>
          <w:sz w:val="20"/>
          <w:szCs w:val="20"/>
          <w:color w:val="auto"/>
        </w:rPr>
      </w:pPr>
      <w:r>
        <w:rPr>
          <w:rFonts w:ascii="Arial" w:cs="Arial" w:eastAsia="Arial" w:hAnsi="Arial"/>
          <w:sz w:val="19"/>
          <w:szCs w:val="19"/>
          <w:color w:val="auto"/>
        </w:rPr>
        <w:t>Title: Chief Human Resources</w:t>
      </w:r>
    </w:p>
    <w:p>
      <w:pPr>
        <w:spacing w:after="0" w:line="4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DAVID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658495</wp:posOffset>
            </wp:positionV>
            <wp:extent cx="20745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RSU Agreement]</w:t>
      </w:r>
    </w:p>
    <w:p>
      <w:pPr>
        <w:sectPr>
          <w:pgSz w:w="11900" w:h="16838" w:orient="portrait"/>
          <w:cols w:equalWidth="0" w:num="1">
            <w:col w:w="9019"/>
          </w:cols>
          <w:pgMar w:left="1440" w:top="604" w:right="1440" w:bottom="1440" w:gutter="0" w:footer="0" w:header="0"/>
          <w:type w:val="continuous"/>
        </w:sectPr>
      </w:pPr>
    </w:p>
    <w:bookmarkStart w:id="114" w:name="page115"/>
    <w:bookmarkEnd w:id="114"/>
    <w:p>
      <w:pPr>
        <w:ind w:left="5192"/>
        <w:spacing w:after="0"/>
        <w:rPr>
          <w:sz w:val="20"/>
          <w:szCs w:val="20"/>
          <w:color w:val="auto"/>
        </w:rPr>
      </w:pPr>
      <w:r>
        <w:rPr>
          <w:rFonts w:ascii="Arial" w:cs="Arial" w:eastAsia="Arial" w:hAnsi="Arial"/>
          <w:sz w:val="21"/>
          <w:szCs w:val="2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374650</wp:posOffset>
            </wp:positionV>
            <wp:extent cx="7140575" cy="3600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0575" cy="360045"/>
                    </a:xfrm>
                    <a:prstGeom prst="rect">
                      <a:avLst/>
                    </a:prstGeom>
                    <a:noFill/>
                  </pic:spPr>
                </pic:pic>
              </a:graphicData>
            </a:graphic>
          </wp:anchor>
        </w:drawing>
      </w:r>
    </w:p>
    <w:p>
      <w:pPr>
        <w:sectPr>
          <w:pgSz w:w="11900" w:h="16838" w:orient="portrait"/>
          <w:cols w:equalWidth="0" w:num="1">
            <w:col w:w="10131"/>
          </w:cols>
          <w:pgMar w:left="328" w:top="1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
        <w:spacing w:after="0" w:line="250" w:lineRule="auto"/>
        <w:rPr>
          <w:sz w:val="20"/>
          <w:szCs w:val="20"/>
          <w:color w:val="auto"/>
        </w:rPr>
      </w:pPr>
      <w:r>
        <w:rPr>
          <w:rFonts w:ascii="Arial" w:cs="Arial" w:eastAsia="Arial" w:hAnsi="Arial"/>
          <w:sz w:val="22"/>
          <w:szCs w:val="22"/>
          <w:color w:val="auto"/>
        </w:rPr>
        <w:t>Number of RSUs Granted Hereunder: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color w:val="auto"/>
        </w:rPr>
        <w:t>[●] RSUs</w:t>
      </w:r>
      <w:r>
        <w:rPr>
          <w:rFonts w:ascii="Arial" w:cs="Arial" w:eastAsia="Arial" w:hAnsi="Arial"/>
          <w:sz w:val="25"/>
          <w:szCs w:val="25"/>
          <w:color w:val="auto"/>
          <w:vertAlign w:val="superscript"/>
        </w:rPr>
        <w:t>1</w:t>
      </w:r>
    </w:p>
    <w:p>
      <w:pPr>
        <w:spacing w:after="0" w:line="439" w:lineRule="exact"/>
        <w:rPr>
          <w:sz w:val="20"/>
          <w:szCs w:val="20"/>
          <w:color w:val="auto"/>
        </w:rPr>
      </w:pPr>
    </w:p>
    <w:p>
      <w:pPr>
        <w:sectPr>
          <w:pgSz w:w="11900" w:h="16838" w:orient="portrait"/>
          <w:cols w:equalWidth="0" w:num="2">
            <w:col w:w="2292" w:space="340"/>
            <w:col w:w="7499"/>
          </w:cols>
          <w:pgMar w:left="328" w:top="11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12" w:hanging="112"/>
        <w:spacing w:after="0"/>
        <w:tabs>
          <w:tab w:leader="none" w:pos="112" w:val="left"/>
        </w:tabs>
        <w:numPr>
          <w:ilvl w:val="0"/>
          <w:numId w:val="115"/>
        </w:numPr>
        <w:rPr>
          <w:rFonts w:ascii="Arial" w:cs="Arial" w:eastAsia="Arial" w:hAnsi="Arial"/>
          <w:sz w:val="26"/>
          <w:szCs w:val="26"/>
          <w:color w:val="auto"/>
          <w:vertAlign w:val="superscript"/>
        </w:rPr>
      </w:pPr>
      <w:r>
        <w:rPr>
          <w:rFonts w:ascii="Arial" w:cs="Arial" w:eastAsia="Arial" w:hAnsi="Arial"/>
          <w:sz w:val="19"/>
          <w:szCs w:val="19"/>
          <w:color w:val="auto"/>
        </w:rPr>
        <w:t>Number to correspond to grant date value of $2,000,000.</w:t>
      </w:r>
    </w:p>
    <w:p>
      <w:pPr>
        <w:sectPr>
          <w:pgSz w:w="11900" w:h="16838" w:orient="portrait"/>
          <w:cols w:equalWidth="0" w:num="1">
            <w:col w:w="10131"/>
          </w:cols>
          <w:pgMar w:left="328" w:top="1117" w:right="1440"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22"/>
          <w:szCs w:val="22"/>
          <w:u w:val="single" w:color="auto"/>
          <w:color w:val="auto"/>
        </w:rPr>
        <w:t>EXHIBIT 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PSU AWARD AGREEMENT</w:t>
      </w:r>
    </w:p>
    <w:p>
      <w:pPr>
        <w:spacing w:after="0" w:line="233" w:lineRule="exact"/>
        <w:rPr>
          <w:sz w:val="20"/>
          <w:szCs w:val="20"/>
          <w:color w:val="auto"/>
        </w:rPr>
      </w:pPr>
    </w:p>
    <w:p>
      <w:pPr>
        <w:ind w:left="1960" w:firstLine="1296"/>
        <w:spacing w:after="0" w:line="250" w:lineRule="auto"/>
        <w:rPr>
          <w:sz w:val="20"/>
          <w:szCs w:val="20"/>
          <w:color w:val="auto"/>
        </w:rPr>
      </w:pPr>
      <w:r>
        <w:rPr>
          <w:rFonts w:ascii="Arial" w:cs="Arial" w:eastAsia="Arial" w:hAnsi="Arial"/>
          <w:sz w:val="22"/>
          <w:szCs w:val="22"/>
          <w:color w:val="auto"/>
        </w:rPr>
        <w:t>PERFORMANCE-BASED RESTRICTED STOCK UNIT AWARD AGREEMENT UNDER THE XPO LOGISTICS, INC. 2016 OMNIBUS INCENTIVE COMPENSATION PLAN, dated as of [DATE] (the “</w:t>
      </w:r>
      <w:r>
        <w:rPr>
          <w:rFonts w:ascii="Arial" w:cs="Arial" w:eastAsia="Arial" w:hAnsi="Arial"/>
          <w:sz w:val="22"/>
          <w:szCs w:val="22"/>
          <w:u w:val="single" w:color="auto"/>
          <w:color w:val="auto"/>
        </w:rPr>
        <w:t>Grant Date</w:t>
      </w:r>
      <w:r>
        <w:rPr>
          <w:rFonts w:ascii="Arial" w:cs="Arial" w:eastAsia="Arial" w:hAnsi="Arial"/>
          <w:sz w:val="22"/>
          <w:szCs w:val="22"/>
          <w:color w:val="auto"/>
        </w:rPr>
        <w:t>”) between XPO LOGISTICS,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David Wyshner.</w:t>
      </w:r>
    </w:p>
    <w:p>
      <w:pPr>
        <w:spacing w:after="0" w:line="188" w:lineRule="exact"/>
        <w:rPr>
          <w:sz w:val="20"/>
          <w:szCs w:val="20"/>
          <w:color w:val="auto"/>
        </w:rPr>
      </w:pPr>
    </w:p>
    <w:p>
      <w:pPr>
        <w:ind w:right="200" w:firstLine="1296"/>
        <w:spacing w:after="0" w:line="294" w:lineRule="auto"/>
        <w:rPr>
          <w:sz w:val="20"/>
          <w:szCs w:val="20"/>
          <w:color w:val="auto"/>
        </w:rPr>
      </w:pPr>
      <w:r>
        <w:rPr>
          <w:rFonts w:ascii="Arial" w:cs="Arial" w:eastAsia="Arial" w:hAnsi="Arial"/>
          <w:sz w:val="19"/>
          <w:szCs w:val="19"/>
          <w:color w:val="auto"/>
        </w:rPr>
        <w:t>This Performance-Based Restricted Stock Unit Award Agreement (this “</w:t>
      </w:r>
      <w:r>
        <w:rPr>
          <w:rFonts w:ascii="Arial" w:cs="Arial" w:eastAsia="Arial" w:hAnsi="Arial"/>
          <w:sz w:val="19"/>
          <w:szCs w:val="19"/>
          <w:u w:val="single" w:color="auto"/>
          <w:color w:val="auto"/>
        </w:rPr>
        <w:t>Award Agreement</w:t>
      </w:r>
      <w:r>
        <w:rPr>
          <w:rFonts w:ascii="Arial" w:cs="Arial" w:eastAsia="Arial" w:hAnsi="Arial"/>
          <w:sz w:val="19"/>
          <w:szCs w:val="19"/>
          <w:color w:val="auto"/>
        </w:rPr>
        <w:t>”) sets forth the terms and conditions of an award of performance-based restricted stock units with respect to a number of shares of the Company’s Common Stock, $0.001 par value (“</w:t>
      </w:r>
      <w:r>
        <w:rPr>
          <w:rFonts w:ascii="Arial" w:cs="Arial" w:eastAsia="Arial" w:hAnsi="Arial"/>
          <w:sz w:val="19"/>
          <w:szCs w:val="19"/>
          <w:u w:val="single" w:color="auto"/>
          <w:color w:val="auto"/>
        </w:rPr>
        <w:t>Share</w:t>
      </w:r>
      <w:r>
        <w:rPr>
          <w:rFonts w:ascii="Arial" w:cs="Arial" w:eastAsia="Arial" w:hAnsi="Arial"/>
          <w:sz w:val="19"/>
          <w:szCs w:val="19"/>
          <w:color w:val="auto"/>
        </w:rPr>
        <w:t>”) set forth on Exhibit A (this “</w:t>
      </w:r>
      <w:r>
        <w:rPr>
          <w:rFonts w:ascii="Arial" w:cs="Arial" w:eastAsia="Arial" w:hAnsi="Arial"/>
          <w:sz w:val="19"/>
          <w:szCs w:val="19"/>
          <w:u w:val="single" w:color="auto"/>
          <w:color w:val="auto"/>
        </w:rPr>
        <w:t>Award</w:t>
      </w:r>
      <w:r>
        <w:rPr>
          <w:rFonts w:ascii="Arial" w:cs="Arial" w:eastAsia="Arial" w:hAnsi="Arial"/>
          <w:sz w:val="19"/>
          <w:szCs w:val="19"/>
          <w:color w:val="auto"/>
        </w:rPr>
        <w:t>”), that is subject to the terms and conditions specified herein (each such restricted stock unit, an “</w:t>
      </w:r>
      <w:r>
        <w:rPr>
          <w:rFonts w:ascii="Arial" w:cs="Arial" w:eastAsia="Arial" w:hAnsi="Arial"/>
          <w:sz w:val="19"/>
          <w:szCs w:val="19"/>
          <w:u w:val="single" w:color="auto"/>
          <w:color w:val="auto"/>
        </w:rPr>
        <w:t>RSU</w:t>
      </w:r>
      <w:r>
        <w:rPr>
          <w:rFonts w:ascii="Arial" w:cs="Arial" w:eastAsia="Arial" w:hAnsi="Arial"/>
          <w:sz w:val="19"/>
          <w:szCs w:val="19"/>
          <w:color w:val="auto"/>
        </w:rPr>
        <w:t>”) and that are granted to you under the XPO Logistics, Inc. 2016 Omnibus Incentive Compensation Plan (the “</w:t>
      </w:r>
      <w:r>
        <w:rPr>
          <w:rFonts w:ascii="Arial" w:cs="Arial" w:eastAsia="Arial" w:hAnsi="Arial"/>
          <w:sz w:val="19"/>
          <w:szCs w:val="19"/>
          <w:u w:val="single" w:color="auto"/>
          <w:color w:val="auto"/>
        </w:rPr>
        <w:t>Plan</w:t>
      </w:r>
      <w:r>
        <w:rPr>
          <w:rFonts w:ascii="Arial" w:cs="Arial" w:eastAsia="Arial" w:hAnsi="Arial"/>
          <w:sz w:val="19"/>
          <w:szCs w:val="19"/>
          <w:color w:val="auto"/>
        </w:rPr>
        <w:t>”). This Award provides you with the opportunity to earn, subject to the terms of this Award Agreement, Shares or cash, as set forth in Section 3 of this Award Agreement.</w:t>
      </w:r>
    </w:p>
    <w:p>
      <w:pPr>
        <w:spacing w:after="0" w:line="149" w:lineRule="exact"/>
        <w:rPr>
          <w:sz w:val="20"/>
          <w:szCs w:val="20"/>
          <w:color w:val="auto"/>
        </w:rPr>
      </w:pPr>
    </w:p>
    <w:p>
      <w:pPr>
        <w:ind w:right="60" w:firstLine="1296"/>
        <w:spacing w:after="0" w:line="250" w:lineRule="auto"/>
        <w:rPr>
          <w:sz w:val="20"/>
          <w:szCs w:val="20"/>
          <w:color w:val="auto"/>
        </w:rPr>
      </w:pPr>
      <w:r>
        <w:rPr>
          <w:rFonts w:ascii="Arial" w:cs="Arial" w:eastAsia="Arial" w:hAnsi="Arial"/>
          <w:sz w:val="22"/>
          <w:szCs w:val="22"/>
          <w:color w:val="auto"/>
        </w:rPr>
        <w:t>THIS AWARD IS SUBJECT TO ALL TERMS AND CONDITIONS OF THE PLAN AND THIS AWARD AGREEMENT, INCLUDING THE DISPUTE RESOLUTION PROVISIONS SET FORTH IN SECTION 10 OF THIS AWARD AGREEMENT. BY SIGNING YOUR NAME BELOW, YOU SHALL HAVE CONFIRMED YOUR ACCEPTANCE OF THE TERMS AND CONDITIONS OF THIS AWARD AGREEMENT.</w:t>
      </w:r>
    </w:p>
    <w:p>
      <w:pPr>
        <w:spacing w:after="0" w:line="161" w:lineRule="exact"/>
        <w:rPr>
          <w:sz w:val="20"/>
          <w:szCs w:val="20"/>
          <w:color w:val="auto"/>
        </w:rPr>
      </w:pPr>
    </w:p>
    <w:p>
      <w:pPr>
        <w:jc w:val="both"/>
        <w:ind w:right="180" w:firstLine="1296"/>
        <w:spacing w:after="0" w:line="223" w:lineRule="auto"/>
        <w:rPr>
          <w:sz w:val="20"/>
          <w:szCs w:val="20"/>
          <w:color w:val="auto"/>
        </w:rPr>
      </w:pPr>
      <w:r>
        <w:rPr>
          <w:rFonts w:ascii="Arial" w:cs="Arial" w:eastAsia="Arial" w:hAnsi="Arial"/>
          <w:sz w:val="22"/>
          <w:szCs w:val="22"/>
          <w:color w:val="010000"/>
        </w:rPr>
        <w:t xml:space="preserve">SECTION 1. </w:t>
      </w:r>
      <w:r>
        <w:rPr>
          <w:rFonts w:ascii="Arial" w:cs="Arial" w:eastAsia="Arial" w:hAnsi="Arial"/>
          <w:sz w:val="22"/>
          <w:szCs w:val="22"/>
          <w:u w:val="single" w:color="auto"/>
          <w:color w:val="000000"/>
        </w:rPr>
        <w:t>The Plan</w:t>
      </w:r>
      <w:r>
        <w:rPr>
          <w:rFonts w:ascii="Arial" w:cs="Arial" w:eastAsia="Arial" w:hAnsi="Arial"/>
          <w:sz w:val="22"/>
          <w:szCs w:val="22"/>
          <w:color w:val="000000"/>
        </w:rPr>
        <w:t>. This Award is made pursuant to the Plan, all the terms of which are hereby</w:t>
      </w:r>
      <w:r>
        <w:rPr>
          <w:rFonts w:ascii="Arial" w:cs="Arial" w:eastAsia="Arial" w:hAnsi="Arial"/>
          <w:sz w:val="22"/>
          <w:szCs w:val="22"/>
          <w:color w:val="010000"/>
        </w:rPr>
        <w:t xml:space="preserve"> </w:t>
      </w:r>
      <w:r>
        <w:rPr>
          <w:rFonts w:ascii="Arial" w:cs="Arial" w:eastAsia="Arial" w:hAnsi="Arial"/>
          <w:sz w:val="22"/>
          <w:szCs w:val="22"/>
          <w:color w:val="000000"/>
        </w:rPr>
        <w:t>incorporated in this Award Agreement, including the provisions of Section 6(e) of the Plan. In the event of any conflict between the terms of the Plan and the terms of this Award Agreement, the terms of the Plan shall govern.</w:t>
      </w:r>
    </w:p>
    <w:p>
      <w:pPr>
        <w:spacing w:after="0" w:line="159" w:lineRule="exact"/>
        <w:rPr>
          <w:sz w:val="20"/>
          <w:szCs w:val="20"/>
          <w:color w:val="auto"/>
        </w:rPr>
      </w:pPr>
    </w:p>
    <w:p>
      <w:pPr>
        <w:jc w:val="both"/>
        <w:ind w:right="200" w:firstLine="1296"/>
        <w:spacing w:after="0" w:line="223" w:lineRule="auto"/>
        <w:rPr>
          <w:sz w:val="20"/>
          <w:szCs w:val="20"/>
          <w:color w:val="auto"/>
        </w:rPr>
      </w:pPr>
      <w:r>
        <w:rPr>
          <w:rFonts w:ascii="Arial" w:cs="Arial" w:eastAsia="Arial" w:hAnsi="Arial"/>
          <w:sz w:val="22"/>
          <w:szCs w:val="22"/>
          <w:color w:val="010000"/>
        </w:rPr>
        <w:t xml:space="preserve">SECTION 2. </w:t>
      </w:r>
      <w:r>
        <w:rPr>
          <w:rFonts w:ascii="Arial" w:cs="Arial" w:eastAsia="Arial" w:hAnsi="Arial"/>
          <w:sz w:val="22"/>
          <w:szCs w:val="22"/>
          <w:u w:val="single" w:color="auto"/>
          <w:color w:val="000000"/>
        </w:rPr>
        <w:t>Definitions</w:t>
      </w:r>
      <w:r>
        <w:rPr>
          <w:rFonts w:ascii="Arial" w:cs="Arial" w:eastAsia="Arial" w:hAnsi="Arial"/>
          <w:sz w:val="22"/>
          <w:szCs w:val="22"/>
          <w:color w:val="000000"/>
        </w:rPr>
        <w:t>. Capitalized terms used in this Award Agreement that are not defined in</w:t>
      </w:r>
      <w:r>
        <w:rPr>
          <w:rFonts w:ascii="Arial" w:cs="Arial" w:eastAsia="Arial" w:hAnsi="Arial"/>
          <w:sz w:val="22"/>
          <w:szCs w:val="22"/>
          <w:color w:val="010000"/>
        </w:rPr>
        <w:t xml:space="preserve"> </w:t>
      </w:r>
      <w:r>
        <w:rPr>
          <w:rFonts w:ascii="Arial" w:cs="Arial" w:eastAsia="Arial" w:hAnsi="Arial"/>
          <w:sz w:val="22"/>
          <w:szCs w:val="22"/>
          <w:color w:val="000000"/>
        </w:rPr>
        <w:t>this Award Agreement have the meanings as used or defined in the Plan. As used in this Award Agreement, the following terms have the meanings set forth below:</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EPS Performance Goal</w:t>
      </w:r>
      <w:r>
        <w:rPr>
          <w:rFonts w:ascii="Arial" w:cs="Arial" w:eastAsia="Arial" w:hAnsi="Arial"/>
          <w:sz w:val="22"/>
          <w:szCs w:val="22"/>
          <w:color w:val="auto"/>
        </w:rPr>
        <w:t xml:space="preserve">” has the meaning given to such term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220" w:lineRule="exact"/>
        <w:rPr>
          <w:sz w:val="20"/>
          <w:szCs w:val="20"/>
          <w:color w:val="auto"/>
        </w:rPr>
      </w:pPr>
    </w:p>
    <w:p>
      <w:pPr>
        <w:ind w:right="160"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 your (i) gross negligence or willful failure to perform your duties hereunder or willful refusal to follow any lawful directive of the Chief Executive Officer of the Company or the Board of Directors of the Company; (ii) abuse of or dependency on alcohol or drugs (illicit or otherwise) that adversely affects your performance of duties hereunder; (iii) commission of any fraud, embezzlement, theft or dishonesty, or any deliberate misappropriation of money or other assets of the Company;</w:t>
      </w:r>
    </w:p>
    <w:p>
      <w:pPr>
        <w:sectPr>
          <w:pgSz w:w="11900" w:h="16838" w:orient="portrait"/>
          <w:cols w:equalWidth="0" w:num="1">
            <w:col w:w="11240"/>
          </w:cols>
          <w:pgMar w:left="320" w:top="1131" w:right="339" w:bottom="1440" w:gutter="0" w:footer="0" w:header="0"/>
        </w:sectPr>
      </w:pPr>
    </w:p>
    <w:bookmarkStart w:id="116" w:name="page117"/>
    <w:bookmarkEnd w:id="116"/>
    <w:p>
      <w:pPr>
        <w:ind w:right="280" w:firstLine="8"/>
        <w:spacing w:after="0" w:line="291" w:lineRule="auto"/>
        <w:tabs>
          <w:tab w:leader="none" w:pos="366" w:val="left"/>
        </w:tabs>
        <w:numPr>
          <w:ilvl w:val="0"/>
          <w:numId w:val="116"/>
        </w:numPr>
        <w:rPr>
          <w:rFonts w:ascii="Arial" w:cs="Arial" w:eastAsia="Arial" w:hAnsi="Arial"/>
          <w:sz w:val="19"/>
          <w:szCs w:val="19"/>
          <w:color w:val="auto"/>
        </w:rPr>
      </w:pPr>
      <w:r>
        <w:rPr>
          <w:rFonts w:ascii="Arial" w:cs="Arial" w:eastAsia="Arial" w:hAnsi="Arial"/>
          <w:sz w:val="19"/>
          <w:szCs w:val="19"/>
          <w:color w:val="auto"/>
        </w:rPr>
        <w:t>breach of any term of any Employment Agreement to which you may be party or any agreement governing long-term incentive compensation or equity compensation to which you may be party or breach of your fiduciary duties to the Company;</w:t>
      </w:r>
    </w:p>
    <w:p>
      <w:pPr>
        <w:spacing w:after="0" w:line="1" w:lineRule="exact"/>
        <w:rPr>
          <w:rFonts w:ascii="Arial" w:cs="Arial" w:eastAsia="Arial" w:hAnsi="Arial"/>
          <w:sz w:val="19"/>
          <w:szCs w:val="19"/>
          <w:color w:val="auto"/>
        </w:rPr>
      </w:pPr>
    </w:p>
    <w:p>
      <w:pPr>
        <w:ind w:firstLine="8"/>
        <w:spacing w:after="0" w:line="285" w:lineRule="auto"/>
        <w:tabs>
          <w:tab w:leader="none" w:pos="306" w:val="left"/>
        </w:tabs>
        <w:numPr>
          <w:ilvl w:val="0"/>
          <w:numId w:val="116"/>
        </w:numPr>
        <w:rPr>
          <w:rFonts w:ascii="Arial" w:cs="Arial" w:eastAsia="Arial" w:hAnsi="Arial"/>
          <w:sz w:val="19"/>
          <w:szCs w:val="19"/>
          <w:color w:val="auto"/>
        </w:rPr>
      </w:pPr>
      <w:r>
        <w:rPr>
          <w:rFonts w:ascii="Arial" w:cs="Arial" w:eastAsia="Arial" w:hAnsi="Arial"/>
          <w:sz w:val="19"/>
          <w:szCs w:val="19"/>
          <w:color w:val="auto"/>
        </w:rPr>
        <w:t>failure to provide the Company with at least 30 days’ advanced written notice of your intention to resign; (vi) any willful act, or failure to act, in bad faith to the detriment of the Company; (vii) willful failure to cooperate in good faith with a governmental or internal investigation of the Company or any of its directors, managers, officers or employees, if the Company requests your cooperation; (viii) failure to follow the Company’s code of conduct or ethics policy; and (ix) conviction of, or plea of nolo contendere to, a felony or any serious crime; provided that, the Company will provide you with written notice describing the facts and circumstances that the Company believes constitutes Cause and, in cases where cure is possible, you shall first be provided a 15-day cure period. If, subsequent to your termination of employment for any reason other than by the Company for Cause, it is determined in good faith by the Chief Executive Officer of the Company that your employment could have been terminated by the Company for Cause, your employment shall, at the election of the Chief Executive Officer of the Company at any time up to two years after your termination of employment but in no event more than six months after the Chief Executive Officer of the Company learns of the facts or events that could give rise to the termination for Cause, be deemed to have been terminated for Cause retroactively to the date the events giving rise to Cause occurred.</w:t>
      </w:r>
    </w:p>
    <w:p>
      <w:pPr>
        <w:spacing w:after="0" w:line="163"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Determination Date</w:t>
      </w:r>
      <w:r>
        <w:rPr>
          <w:rFonts w:ascii="Arial" w:cs="Arial" w:eastAsia="Arial" w:hAnsi="Arial"/>
          <w:sz w:val="22"/>
          <w:szCs w:val="22"/>
          <w:color w:val="auto"/>
        </w:rPr>
        <w:t>” means the date on which the Committee determines whether the Adjusted EPS Performance Goal and the TSR Performance Goal have been achieved, which shall be no later than the March 1 immediately following the Company’s 2024 fiscal year.</w:t>
      </w:r>
    </w:p>
    <w:p>
      <w:pPr>
        <w:spacing w:after="0" w:line="185" w:lineRule="exact"/>
        <w:rPr>
          <w:sz w:val="20"/>
          <w:szCs w:val="20"/>
          <w:color w:val="auto"/>
        </w:rPr>
      </w:pPr>
    </w:p>
    <w:p>
      <w:pPr>
        <w:ind w:right="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means any individual employment agreement between you and the Company or any of its Subsidiaries.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Period</w:t>
      </w:r>
      <w:r>
        <w:rPr>
          <w:rFonts w:ascii="Arial" w:cs="Arial" w:eastAsia="Arial" w:hAnsi="Arial"/>
          <w:sz w:val="19"/>
          <w:szCs w:val="19"/>
          <w:color w:val="auto"/>
        </w:rPr>
        <w:t>” means the period commencing on January 1, 2020 and ending on December 31, 2024.</w:t>
      </w:r>
    </w:p>
    <w:p>
      <w:pPr>
        <w:spacing w:after="0" w:line="254"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means Section 409A of the Code, and the regulations and other interpretive guidance promulgated thereunder, as in effect from time to time.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Settlement Date</w:t>
      </w:r>
      <w:r>
        <w:rPr>
          <w:rFonts w:ascii="Arial" w:cs="Arial" w:eastAsia="Arial" w:hAnsi="Arial"/>
          <w:sz w:val="19"/>
          <w:szCs w:val="19"/>
          <w:color w:val="auto"/>
        </w:rPr>
        <w:t>” means the tenth day following the date, if any, on which the RSUs vest pursuant to Section 3.</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TSR Performance Goal</w:t>
      </w:r>
      <w:r>
        <w:rPr>
          <w:rFonts w:ascii="Arial" w:cs="Arial" w:eastAsia="Arial" w:hAnsi="Arial"/>
          <w:sz w:val="22"/>
          <w:szCs w:val="22"/>
          <w:color w:val="auto"/>
        </w:rPr>
        <w:t xml:space="preserve">” has the meaning given to such term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193" w:lineRule="exact"/>
        <w:rPr>
          <w:sz w:val="20"/>
          <w:szCs w:val="20"/>
          <w:color w:val="auto"/>
        </w:rPr>
      </w:pPr>
    </w:p>
    <w:p>
      <w:pPr>
        <w:ind w:left="1300"/>
        <w:spacing w:after="0"/>
        <w:tabs>
          <w:tab w:leader="none" w:pos="3700" w:val="left"/>
        </w:tabs>
        <w:rPr>
          <w:sz w:val="20"/>
          <w:szCs w:val="20"/>
          <w:color w:val="auto"/>
        </w:rPr>
      </w:pPr>
      <w:r>
        <w:rPr>
          <w:rFonts w:ascii="Arial" w:cs="Arial" w:eastAsia="Arial" w:hAnsi="Arial"/>
          <w:sz w:val="22"/>
          <w:szCs w:val="22"/>
          <w:color w:val="010000"/>
        </w:rPr>
        <w:t>SECTION 3.</w:t>
      </w:r>
      <w:r>
        <w:rPr>
          <w:sz w:val="20"/>
          <w:szCs w:val="20"/>
          <w:color w:val="auto"/>
        </w:rPr>
        <w:tab/>
      </w:r>
      <w:r>
        <w:rPr>
          <w:rFonts w:ascii="Arial" w:cs="Arial" w:eastAsia="Arial" w:hAnsi="Arial"/>
          <w:sz w:val="19"/>
          <w:szCs w:val="19"/>
          <w:u w:val="single" w:color="auto"/>
          <w:color w:val="auto"/>
        </w:rPr>
        <w:t>Vesting and Settlement</w:t>
      </w:r>
      <w:r>
        <w:rPr>
          <w:rFonts w:ascii="Arial" w:cs="Arial" w:eastAsia="Arial" w:hAnsi="Arial"/>
          <w:sz w:val="19"/>
          <w:szCs w:val="19"/>
          <w:color w:val="auto"/>
        </w:rPr>
        <w:t>.</w:t>
      </w:r>
    </w:p>
    <w:p>
      <w:pPr>
        <w:spacing w:after="0" w:line="206" w:lineRule="exact"/>
        <w:rPr>
          <w:sz w:val="20"/>
          <w:szCs w:val="20"/>
          <w:color w:val="auto"/>
        </w:rPr>
      </w:pPr>
    </w:p>
    <w:p>
      <w:pPr>
        <w:jc w:val="both"/>
        <w:ind w:right="520" w:firstLine="1304"/>
        <w:spacing w:after="0" w:line="319" w:lineRule="auto"/>
        <w:tabs>
          <w:tab w:leader="none" w:pos="1716" w:val="left"/>
        </w:tabs>
        <w:numPr>
          <w:ilvl w:val="0"/>
          <w:numId w:val="117"/>
        </w:numPr>
        <w:rPr>
          <w:rFonts w:ascii="Arial" w:cs="Arial" w:eastAsia="Arial" w:hAnsi="Arial"/>
          <w:sz w:val="19"/>
          <w:szCs w:val="19"/>
          <w:color w:val="010000"/>
        </w:rPr>
      </w:pPr>
      <w:r>
        <w:rPr>
          <w:rFonts w:ascii="Arial" w:cs="Arial" w:eastAsia="Arial" w:hAnsi="Arial"/>
          <w:sz w:val="19"/>
          <w:szCs w:val="19"/>
          <w:u w:val="single" w:color="auto"/>
          <w:color w:val="auto"/>
        </w:rPr>
        <w:t>Vesting Requirements</w:t>
      </w:r>
      <w:r>
        <w:rPr>
          <w:rFonts w:ascii="Arial" w:cs="Arial" w:eastAsia="Arial" w:hAnsi="Arial"/>
          <w:sz w:val="19"/>
          <w:szCs w:val="19"/>
          <w:color w:val="auto"/>
        </w:rPr>
        <w:t>. Except as otherwise provided in Section 3(b) or 3(c) hereof, you shall vest in the RSUs granted pursuant to this Award Agreement if (i) the Adjusted EPS Performance Goal has been achieved, (ii) the TSR Performance Goal has been achieved, and (iii) you have remained employed with the Company or an</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C-2</w:t>
      </w:r>
    </w:p>
    <w:p>
      <w:pPr>
        <w:sectPr>
          <w:pgSz w:w="11900" w:h="16838" w:orient="portrait"/>
          <w:cols w:equalWidth="0" w:num="1">
            <w:col w:w="11220"/>
          </w:cols>
          <w:pgMar w:left="320" w:top="604" w:right="359" w:bottom="1440" w:gutter="0" w:footer="0" w:header="0"/>
        </w:sectPr>
      </w:pPr>
    </w:p>
    <w:bookmarkStart w:id="117" w:name="page118"/>
    <w:bookmarkEnd w:id="117"/>
    <w:p>
      <w:pPr>
        <w:ind w:right="460"/>
        <w:spacing w:after="0" w:line="253" w:lineRule="auto"/>
        <w:rPr>
          <w:sz w:val="20"/>
          <w:szCs w:val="20"/>
          <w:color w:val="auto"/>
        </w:rPr>
      </w:pPr>
      <w:r>
        <w:rPr>
          <w:rFonts w:ascii="Arial" w:cs="Arial" w:eastAsia="Arial" w:hAnsi="Arial"/>
          <w:sz w:val="22"/>
          <w:szCs w:val="22"/>
          <w:color w:val="auto"/>
        </w:rPr>
        <w:t>Affiliate thereof through the last day of the Performance Period. If the Committee determines that either the Adjusted EPS Performance Goal or the TSR Performance Goal has not been achieved, all unvested RSUs shall be forfeited and cease to be outstanding, effective as of the Determination Date.</w:t>
      </w:r>
    </w:p>
    <w:p>
      <w:pPr>
        <w:spacing w:after="0" w:line="185" w:lineRule="exact"/>
        <w:rPr>
          <w:sz w:val="20"/>
          <w:szCs w:val="20"/>
          <w:color w:val="auto"/>
        </w:rPr>
      </w:pPr>
    </w:p>
    <w:p>
      <w:pPr>
        <w:jc w:val="both"/>
        <w:ind w:right="140" w:firstLine="1304"/>
        <w:spacing w:after="0" w:line="259" w:lineRule="auto"/>
        <w:tabs>
          <w:tab w:leader="none" w:pos="1728" w:val="left"/>
        </w:tabs>
        <w:numPr>
          <w:ilvl w:val="0"/>
          <w:numId w:val="118"/>
        </w:numPr>
        <w:rPr>
          <w:rFonts w:ascii="Arial" w:cs="Arial" w:eastAsia="Arial" w:hAnsi="Arial"/>
          <w:sz w:val="22"/>
          <w:szCs w:val="22"/>
          <w:color w:val="010000"/>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Notwithstanding anything to the contrary in this Award Agreement or the Plan to the contrary, all unvested RSUs will be forfeited (and cease to be outstanding) upon your termination of employment for any reason prior to the end of the Performance Period, except that:</w:t>
      </w:r>
    </w:p>
    <w:p>
      <w:pPr>
        <w:spacing w:after="0" w:line="180" w:lineRule="exact"/>
        <w:rPr>
          <w:rFonts w:ascii="Arial" w:cs="Arial" w:eastAsia="Arial" w:hAnsi="Arial"/>
          <w:sz w:val="22"/>
          <w:szCs w:val="22"/>
          <w:color w:val="010000"/>
        </w:rPr>
      </w:pPr>
    </w:p>
    <w:p>
      <w:pPr>
        <w:ind w:left="660" w:right="80" w:firstLine="1292"/>
        <w:spacing w:after="0" w:line="276" w:lineRule="auto"/>
        <w:tabs>
          <w:tab w:leader="none" w:pos="2340" w:val="left"/>
        </w:tabs>
        <w:numPr>
          <w:ilvl w:val="1"/>
          <w:numId w:val="118"/>
        </w:numPr>
        <w:rPr>
          <w:rFonts w:ascii="Arial" w:cs="Arial" w:eastAsia="Arial" w:hAnsi="Arial"/>
          <w:sz w:val="22"/>
          <w:szCs w:val="22"/>
          <w:color w:val="010000"/>
        </w:rPr>
      </w:pPr>
      <w:r>
        <w:rPr>
          <w:rFonts w:ascii="Arial" w:cs="Arial" w:eastAsia="Arial" w:hAnsi="Arial"/>
          <w:sz w:val="22"/>
          <w:szCs w:val="22"/>
          <w:color w:val="auto"/>
        </w:rPr>
        <w:t>if your employment terminates by reason of your death prior to the end of the Performance Period, all outstanding RSUs shall be deemed earned and shall vest in full immediately; and</w:t>
      </w:r>
    </w:p>
    <w:p>
      <w:pPr>
        <w:spacing w:after="0" w:line="160" w:lineRule="exact"/>
        <w:rPr>
          <w:rFonts w:ascii="Arial" w:cs="Arial" w:eastAsia="Arial" w:hAnsi="Arial"/>
          <w:sz w:val="22"/>
          <w:szCs w:val="22"/>
          <w:color w:val="010000"/>
        </w:rPr>
      </w:pPr>
    </w:p>
    <w:p>
      <w:pPr>
        <w:ind w:left="660" w:firstLine="1292"/>
        <w:spacing w:after="0" w:line="261" w:lineRule="auto"/>
        <w:tabs>
          <w:tab w:leader="none" w:pos="2400" w:val="left"/>
        </w:tabs>
        <w:numPr>
          <w:ilvl w:val="1"/>
          <w:numId w:val="118"/>
        </w:numPr>
        <w:rPr>
          <w:rFonts w:ascii="Arial" w:cs="Arial" w:eastAsia="Arial" w:hAnsi="Arial"/>
          <w:sz w:val="21"/>
          <w:szCs w:val="21"/>
          <w:color w:val="010000"/>
        </w:rPr>
      </w:pPr>
      <w:r>
        <w:rPr>
          <w:rFonts w:ascii="Arial" w:cs="Arial" w:eastAsia="Arial" w:hAnsi="Arial"/>
          <w:sz w:val="21"/>
          <w:szCs w:val="21"/>
          <w:color w:val="auto"/>
        </w:rPr>
        <w:t>if your employment is terminated by the Company without Cause (other than due to your disability) during the Performance Period, then a portion of the RSUs shall remain outstanding and eligible to vest, subject to the achievement of the Adjusted EPS Performance Goal and the TSR Performance Goal, which portion shall be equal to the product of (x) the total number of RSUs and (y) a fraction (not to exceed 1), the numerator of which is the number of days from your first day of employment with the Company through the date that is twelve (12) months after the date of termination of your employment and the denominator of which is the total number of days from your first day of employment with the Company through the last day of the Performance Period. Such eligible RSUs will vest, if at all, on the Determination Date.</w:t>
      </w:r>
    </w:p>
    <w:p>
      <w:pPr>
        <w:spacing w:after="0" w:line="180" w:lineRule="exact"/>
        <w:rPr>
          <w:rFonts w:ascii="Arial" w:cs="Arial" w:eastAsia="Arial" w:hAnsi="Arial"/>
          <w:sz w:val="21"/>
          <w:szCs w:val="21"/>
          <w:color w:val="010000"/>
        </w:rPr>
      </w:pPr>
    </w:p>
    <w:p>
      <w:pPr>
        <w:ind w:right="380" w:firstLine="1304"/>
        <w:spacing w:after="0" w:line="307" w:lineRule="auto"/>
        <w:tabs>
          <w:tab w:leader="none" w:pos="1716" w:val="left"/>
        </w:tabs>
        <w:numPr>
          <w:ilvl w:val="0"/>
          <w:numId w:val="118"/>
        </w:numPr>
        <w:rPr>
          <w:rFonts w:ascii="Arial" w:cs="Arial" w:eastAsia="Arial" w:hAnsi="Arial"/>
          <w:sz w:val="19"/>
          <w:szCs w:val="19"/>
          <w:color w:val="010000"/>
        </w:rPr>
      </w:pPr>
      <w:r>
        <w:rPr>
          <w:rFonts w:ascii="Arial" w:cs="Arial" w:eastAsia="Arial" w:hAnsi="Arial"/>
          <w:sz w:val="19"/>
          <w:szCs w:val="19"/>
          <w:u w:val="single" w:color="auto"/>
          <w:color w:val="auto"/>
        </w:rPr>
        <w:t>Change of Control</w:t>
      </w:r>
      <w:r>
        <w:rPr>
          <w:rFonts w:ascii="Arial" w:cs="Arial" w:eastAsia="Arial" w:hAnsi="Arial"/>
          <w:sz w:val="19"/>
          <w:szCs w:val="19"/>
          <w:color w:val="auto"/>
        </w:rPr>
        <w:t>. Upon a Change of Control prior to the conclusion of the Performance Period (or following such conclusion but prior to the Determination Date) that occurs during your employment, or that occurs following your termination of employment by the Company without Cause (and other than due to your disability), all RSUs that remain outstanding at the time of the Change of Control shall be deemed earned and shall vest in full immediately.</w:t>
      </w:r>
    </w:p>
    <w:p>
      <w:pPr>
        <w:spacing w:after="0" w:line="137" w:lineRule="exact"/>
        <w:rPr>
          <w:rFonts w:ascii="Arial" w:cs="Arial" w:eastAsia="Arial" w:hAnsi="Arial"/>
          <w:sz w:val="19"/>
          <w:szCs w:val="19"/>
          <w:color w:val="010000"/>
        </w:rPr>
      </w:pPr>
    </w:p>
    <w:p>
      <w:pPr>
        <w:ind w:right="140" w:firstLine="1304"/>
        <w:spacing w:after="0" w:line="300" w:lineRule="auto"/>
        <w:tabs>
          <w:tab w:leader="none" w:pos="1728" w:val="left"/>
        </w:tabs>
        <w:numPr>
          <w:ilvl w:val="0"/>
          <w:numId w:val="118"/>
        </w:numPr>
        <w:rPr>
          <w:rFonts w:ascii="Arial" w:cs="Arial" w:eastAsia="Arial" w:hAnsi="Arial"/>
          <w:sz w:val="19"/>
          <w:szCs w:val="19"/>
          <w:color w:val="010000"/>
        </w:rPr>
      </w:pPr>
      <w:r>
        <w:rPr>
          <w:rFonts w:ascii="Arial" w:cs="Arial" w:eastAsia="Arial" w:hAnsi="Arial"/>
          <w:sz w:val="19"/>
          <w:szCs w:val="19"/>
          <w:u w:val="single" w:color="auto"/>
          <w:color w:val="auto"/>
        </w:rPr>
        <w:t>Settlement of RSU Award</w:t>
      </w:r>
      <w:r>
        <w:rPr>
          <w:rFonts w:ascii="Arial" w:cs="Arial" w:eastAsia="Arial" w:hAnsi="Arial"/>
          <w:sz w:val="19"/>
          <w:szCs w:val="19"/>
          <w:color w:val="auto"/>
        </w:rPr>
        <w:t>. If RSUs vest pursuant to the foregoing provisions of this Section 3, then no later than the applicable Settlement Date, the Company shall deliver to you or your legal representative either (i) one Share or (ii) a cash payment equal to the Fair Market Value determined as of the Settlement Date of one Share, in each case, for each RSU that has been deemed earned and vested in accordance with the terms of this Award Agreement; provided, that the Company shall have sole discretion to determine whether to settle such RSUs in Shares, cash or a combination thereof.</w:t>
      </w:r>
    </w:p>
    <w:p>
      <w:pPr>
        <w:spacing w:after="0" w:line="119" w:lineRule="exact"/>
        <w:rPr>
          <w:sz w:val="20"/>
          <w:szCs w:val="20"/>
          <w:color w:val="auto"/>
        </w:rPr>
      </w:pPr>
    </w:p>
    <w:p>
      <w:pPr>
        <w:ind w:right="320" w:firstLine="1296"/>
        <w:spacing w:after="0" w:line="234" w:lineRule="auto"/>
        <w:rPr>
          <w:sz w:val="20"/>
          <w:szCs w:val="20"/>
          <w:color w:val="auto"/>
        </w:rPr>
      </w:pPr>
      <w:r>
        <w:rPr>
          <w:rFonts w:ascii="Arial" w:cs="Arial" w:eastAsia="Arial" w:hAnsi="Arial"/>
          <w:sz w:val="21"/>
          <w:szCs w:val="21"/>
          <w:color w:val="010000"/>
        </w:rPr>
        <w:t xml:space="preserve">SECTION 4. </w:t>
      </w:r>
      <w:r>
        <w:rPr>
          <w:rFonts w:ascii="Arial" w:cs="Arial" w:eastAsia="Arial" w:hAnsi="Arial"/>
          <w:sz w:val="21"/>
          <w:szCs w:val="21"/>
          <w:u w:val="single" w:color="auto"/>
          <w:color w:val="000000"/>
        </w:rPr>
        <w:t>Forfeiture of RSUs</w:t>
      </w:r>
      <w:r>
        <w:rPr>
          <w:rFonts w:ascii="Arial" w:cs="Arial" w:eastAsia="Arial" w:hAnsi="Arial"/>
          <w:sz w:val="21"/>
          <w:szCs w:val="21"/>
          <w:color w:val="000000"/>
        </w:rPr>
        <w:t>. If you (a) breach any restrictive covenant (which, for the</w:t>
      </w:r>
      <w:r>
        <w:rPr>
          <w:rFonts w:ascii="Arial" w:cs="Arial" w:eastAsia="Arial" w:hAnsi="Arial"/>
          <w:sz w:val="21"/>
          <w:szCs w:val="21"/>
          <w:color w:val="010000"/>
        </w:rPr>
        <w:t xml:space="preserve"> </w:t>
      </w:r>
      <w:r>
        <w:rPr>
          <w:rFonts w:ascii="Arial" w:cs="Arial" w:eastAsia="Arial" w:hAnsi="Arial"/>
          <w:sz w:val="21"/>
          <w:szCs w:val="21"/>
          <w:color w:val="000000"/>
        </w:rPr>
        <w:t>avoidance of doubt, includes any non-compete, non-solicit, non-disparagement or confidentiality provisions) contained in any arrangements with the Company (including your Employment Agreement and the confidentiality covenant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C-3</w:t>
      </w:r>
    </w:p>
    <w:p>
      <w:pPr>
        <w:sectPr>
          <w:pgSz w:w="11900" w:h="16838" w:orient="portrait"/>
          <w:cols w:equalWidth="0" w:num="1">
            <w:col w:w="11220"/>
          </w:cols>
          <w:pgMar w:left="320" w:top="604" w:right="359" w:bottom="1440" w:gutter="0" w:footer="0" w:header="0"/>
        </w:sectPr>
      </w:pPr>
    </w:p>
    <w:bookmarkStart w:id="118" w:name="page119"/>
    <w:bookmarkEnd w:id="118"/>
    <w:p>
      <w:pPr>
        <w:ind w:right="140"/>
        <w:spacing w:after="0" w:line="247" w:lineRule="auto"/>
        <w:rPr>
          <w:sz w:val="20"/>
          <w:szCs w:val="20"/>
          <w:color w:val="auto"/>
        </w:rPr>
      </w:pPr>
      <w:r>
        <w:rPr>
          <w:rFonts w:ascii="Arial" w:cs="Arial" w:eastAsia="Arial" w:hAnsi="Arial"/>
          <w:sz w:val="19"/>
          <w:szCs w:val="19"/>
          <w:color w:val="auto"/>
        </w:rPr>
        <w:t>contained in Section 10(c) hereof) to which you are subject or (b) engage in fraud or willful misconduct that contributes materially to any financial restatement or material loss to the Company or any of its Subsidiaries, your rights with respect to the RSUs shall immediately terminate, and you shall be entitled to no further payments or benefits with respect thereto and, if the RSUs are vested and/or settled, the Company may require you to forfeit or remit to the Company any amount payable, or the after-tax net amount paid or received by you, in respect of any RSUs; provided, however, that (i) the Company shall make such demand that you forfeit or remit any such amount no later than six months after learning of the conduct described in this Section 4 and (ii) in cases where cure is possible, you shall first be provided a 15-day cure period to cease, and to cure, such conduct.</w:t>
      </w:r>
    </w:p>
    <w:p>
      <w:pPr>
        <w:spacing w:after="0" w:line="154" w:lineRule="exact"/>
        <w:rPr>
          <w:sz w:val="20"/>
          <w:szCs w:val="20"/>
          <w:color w:val="auto"/>
        </w:rPr>
      </w:pPr>
    </w:p>
    <w:p>
      <w:pPr>
        <w:ind w:right="660" w:firstLine="1296"/>
        <w:spacing w:after="0" w:line="234" w:lineRule="auto"/>
        <w:rPr>
          <w:sz w:val="20"/>
          <w:szCs w:val="20"/>
          <w:color w:val="auto"/>
        </w:rPr>
      </w:pPr>
      <w:r>
        <w:rPr>
          <w:rFonts w:ascii="Arial" w:cs="Arial" w:eastAsia="Arial" w:hAnsi="Arial"/>
          <w:sz w:val="21"/>
          <w:szCs w:val="21"/>
          <w:color w:val="010000"/>
        </w:rPr>
        <w:t xml:space="preserve">SECTION 5. </w:t>
      </w:r>
      <w:r>
        <w:rPr>
          <w:rFonts w:ascii="Arial" w:cs="Arial" w:eastAsia="Arial" w:hAnsi="Arial"/>
          <w:sz w:val="21"/>
          <w:szCs w:val="21"/>
          <w:u w:val="single" w:color="auto"/>
          <w:color w:val="000000"/>
        </w:rPr>
        <w:t>No Rights as a Stockholder</w:t>
      </w:r>
      <w:r>
        <w:rPr>
          <w:rFonts w:ascii="Arial" w:cs="Arial" w:eastAsia="Arial" w:hAnsi="Arial"/>
          <w:sz w:val="21"/>
          <w:szCs w:val="21"/>
          <w:color w:val="000000"/>
        </w:rPr>
        <w:t>. You shall not have any rights or privileges of a</w:t>
      </w:r>
      <w:r>
        <w:rPr>
          <w:rFonts w:ascii="Arial" w:cs="Arial" w:eastAsia="Arial" w:hAnsi="Arial"/>
          <w:sz w:val="21"/>
          <w:szCs w:val="21"/>
          <w:color w:val="010000"/>
        </w:rPr>
        <w:t xml:space="preserve"> </w:t>
      </w:r>
      <w:r>
        <w:rPr>
          <w:rFonts w:ascii="Arial" w:cs="Arial" w:eastAsia="Arial" w:hAnsi="Arial"/>
          <w:sz w:val="21"/>
          <w:szCs w:val="21"/>
          <w:color w:val="000000"/>
        </w:rPr>
        <w:t>stockholder with respect to the RSUs subject to this Award Agreement unless and until certificates representing Shares are actually issued and delivered to you or your legal representative in settlement of this Award.</w:t>
      </w:r>
    </w:p>
    <w:p>
      <w:pPr>
        <w:spacing w:after="0" w:line="158" w:lineRule="exact"/>
        <w:rPr>
          <w:sz w:val="20"/>
          <w:szCs w:val="20"/>
          <w:color w:val="auto"/>
        </w:rPr>
      </w:pPr>
    </w:p>
    <w:p>
      <w:pPr>
        <w:ind w:right="20" w:firstLine="1296"/>
        <w:spacing w:after="0" w:line="229" w:lineRule="auto"/>
        <w:rPr>
          <w:sz w:val="20"/>
          <w:szCs w:val="20"/>
          <w:color w:val="auto"/>
        </w:rPr>
      </w:pPr>
      <w:r>
        <w:rPr>
          <w:rFonts w:ascii="Arial" w:cs="Arial" w:eastAsia="Arial" w:hAnsi="Arial"/>
          <w:sz w:val="21"/>
          <w:szCs w:val="21"/>
          <w:color w:val="010000"/>
        </w:rPr>
        <w:t xml:space="preserve">SECTION 6. </w:t>
      </w:r>
      <w:r>
        <w:rPr>
          <w:rFonts w:ascii="Arial" w:cs="Arial" w:eastAsia="Arial" w:hAnsi="Arial"/>
          <w:sz w:val="21"/>
          <w:szCs w:val="21"/>
          <w:u w:val="single" w:color="auto"/>
          <w:color w:val="000000"/>
        </w:rPr>
        <w:t>Non-Transferability of RSUs</w:t>
      </w:r>
      <w:r>
        <w:rPr>
          <w:rFonts w:ascii="Arial" w:cs="Arial" w:eastAsia="Arial" w:hAnsi="Arial"/>
          <w:sz w:val="21"/>
          <w:szCs w:val="21"/>
          <w:color w:val="000000"/>
        </w:rPr>
        <w:t>. Unless otherwise provided by the Committee in its</w:t>
      </w:r>
      <w:r>
        <w:rPr>
          <w:rFonts w:ascii="Arial" w:cs="Arial" w:eastAsia="Arial" w:hAnsi="Arial"/>
          <w:sz w:val="21"/>
          <w:szCs w:val="21"/>
          <w:color w:val="010000"/>
        </w:rPr>
        <w:t xml:space="preserve"> </w:t>
      </w:r>
      <w:r>
        <w:rPr>
          <w:rFonts w:ascii="Arial" w:cs="Arial" w:eastAsia="Arial" w:hAnsi="Arial"/>
          <w:sz w:val="21"/>
          <w:szCs w:val="21"/>
          <w:color w:val="000000"/>
        </w:rPr>
        <w:t>discretion, RSUs may not be sold, assigned, alienated, transferred, pledged, attached or otherwise encumbered except as provided in Section 9(a) of the Plan. Any purported sale, assignment, alienation, transfer, pledge, attachment or other encumbrance of RSUs in violation of the provisions of this Section 6 and Section 9(a) of the Plan shall be void.</w:t>
      </w:r>
    </w:p>
    <w:p>
      <w:pPr>
        <w:spacing w:after="0" w:line="158" w:lineRule="exact"/>
        <w:rPr>
          <w:sz w:val="20"/>
          <w:szCs w:val="20"/>
          <w:color w:val="auto"/>
        </w:rPr>
      </w:pPr>
    </w:p>
    <w:p>
      <w:pPr>
        <w:ind w:left="1300"/>
        <w:spacing w:after="0"/>
        <w:tabs>
          <w:tab w:leader="none" w:pos="3700" w:val="left"/>
        </w:tabs>
        <w:rPr>
          <w:sz w:val="20"/>
          <w:szCs w:val="20"/>
          <w:color w:val="auto"/>
        </w:rPr>
      </w:pPr>
      <w:r>
        <w:rPr>
          <w:rFonts w:ascii="Arial" w:cs="Arial" w:eastAsia="Arial" w:hAnsi="Arial"/>
          <w:sz w:val="22"/>
          <w:szCs w:val="22"/>
          <w:color w:val="010000"/>
        </w:rPr>
        <w:t>SECTION 7.</w:t>
      </w:r>
      <w:r>
        <w:rPr>
          <w:sz w:val="20"/>
          <w:szCs w:val="20"/>
          <w:color w:val="auto"/>
        </w:rPr>
        <w:tab/>
      </w:r>
      <w:r>
        <w:rPr>
          <w:rFonts w:ascii="Arial" w:cs="Arial" w:eastAsia="Arial" w:hAnsi="Arial"/>
          <w:sz w:val="19"/>
          <w:szCs w:val="19"/>
          <w:u w:val="single" w:color="auto"/>
          <w:color w:val="auto"/>
        </w:rPr>
        <w:t>Withholding, Consents and Legends</w:t>
      </w:r>
      <w:r>
        <w:rPr>
          <w:rFonts w:ascii="Arial" w:cs="Arial" w:eastAsia="Arial" w:hAnsi="Arial"/>
          <w:sz w:val="19"/>
          <w:szCs w:val="19"/>
          <w:color w:val="auto"/>
        </w:rPr>
        <w:t>.</w:t>
      </w:r>
    </w:p>
    <w:p>
      <w:pPr>
        <w:spacing w:after="0" w:line="206" w:lineRule="exact"/>
        <w:rPr>
          <w:sz w:val="20"/>
          <w:szCs w:val="20"/>
          <w:color w:val="auto"/>
        </w:rPr>
      </w:pPr>
    </w:p>
    <w:p>
      <w:pPr>
        <w:ind w:firstLine="1304"/>
        <w:spacing w:after="0" w:line="289" w:lineRule="auto"/>
        <w:tabs>
          <w:tab w:leader="none" w:pos="1716" w:val="left"/>
        </w:tabs>
        <w:numPr>
          <w:ilvl w:val="0"/>
          <w:numId w:val="119"/>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The delivery of Shares or cash pursuant to Section 3 of this Award Agreement is conditioned on satisfaction of any applicable withholding taxes in accordance with this Section 7(a) and Section 9(d) of the Plan. No later than the date as of which an amount first becomes includible in your gross income for Federal, state, local or foreign income tax purposes with respect to any RSUs, you shall pay to the Company, or make arrangements satisfactory to the Company regarding the payment of, any Federal, state, local and foreign taxes that are required by applicable laws and regulations to be withheld with respect to such amount. In the event that there is withholding tax liability in connection with the settlement of the RSUs, if authorized by the Committee in its sole discretion, you may satisfy, in whole or in part, any withholding tax liability by having the Company withhold from the number of Shares or cash you would be entitled to receive upon settlement of the RSUs, an amount in cash or a number of Shares having a Fair Market Value (which shall either have the meaning set forth in the Plan or shall have such other meaning as determined by the Company in accordance with applicable withholding requirements) equal to such withholding tax liability.</w:t>
      </w:r>
    </w:p>
    <w:p>
      <w:pPr>
        <w:spacing w:after="0" w:line="200" w:lineRule="exact"/>
        <w:rPr>
          <w:rFonts w:ascii="Arial" w:cs="Arial" w:eastAsia="Arial" w:hAnsi="Arial"/>
          <w:sz w:val="19"/>
          <w:szCs w:val="19"/>
          <w:color w:val="010000"/>
        </w:rPr>
      </w:pPr>
    </w:p>
    <w:p>
      <w:pPr>
        <w:spacing w:after="0" w:line="220" w:lineRule="exact"/>
        <w:rPr>
          <w:rFonts w:ascii="Arial" w:cs="Arial" w:eastAsia="Arial" w:hAnsi="Arial"/>
          <w:sz w:val="19"/>
          <w:szCs w:val="19"/>
          <w:color w:val="010000"/>
        </w:rPr>
      </w:pPr>
    </w:p>
    <w:p>
      <w:pPr>
        <w:ind w:right="240" w:firstLine="1304"/>
        <w:spacing w:after="0" w:line="259" w:lineRule="auto"/>
        <w:tabs>
          <w:tab w:leader="none" w:pos="1728" w:val="left"/>
        </w:tabs>
        <w:numPr>
          <w:ilvl w:val="0"/>
          <w:numId w:val="119"/>
        </w:numPr>
        <w:rPr>
          <w:rFonts w:ascii="Arial" w:cs="Arial" w:eastAsia="Arial" w:hAnsi="Arial"/>
          <w:sz w:val="22"/>
          <w:szCs w:val="22"/>
          <w:color w:val="010000"/>
        </w:rPr>
      </w:pPr>
      <w:r>
        <w:rPr>
          <w:rFonts w:ascii="Arial" w:cs="Arial" w:eastAsia="Arial" w:hAnsi="Arial"/>
          <w:sz w:val="22"/>
          <w:szCs w:val="22"/>
          <w:u w:val="single" w:color="auto"/>
          <w:color w:val="auto"/>
        </w:rPr>
        <w:t>Consents</w:t>
      </w:r>
      <w:r>
        <w:rPr>
          <w:rFonts w:ascii="Arial" w:cs="Arial" w:eastAsia="Arial" w:hAnsi="Arial"/>
          <w:sz w:val="22"/>
          <w:szCs w:val="22"/>
          <w:color w:val="auto"/>
        </w:rPr>
        <w:t>. Your rights in respect of the RSUs are conditioned on the receipt to the full satisfaction of the Committee of any required consents that the Committee may determine to be necessary or advisable (including your consent to the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C-4</w:t>
      </w:r>
    </w:p>
    <w:p>
      <w:pPr>
        <w:sectPr>
          <w:pgSz w:w="11900" w:h="16838" w:orient="portrait"/>
          <w:cols w:equalWidth="0" w:num="1">
            <w:col w:w="11240"/>
          </w:cols>
          <w:pgMar w:left="320" w:top="577" w:right="339" w:bottom="1440" w:gutter="0" w:footer="0" w:header="0"/>
        </w:sectPr>
      </w:pPr>
    </w:p>
    <w:bookmarkStart w:id="119" w:name="page120"/>
    <w:bookmarkEnd w:id="119"/>
    <w:p>
      <w:pPr>
        <w:ind w:right="20"/>
        <w:spacing w:after="0" w:line="263" w:lineRule="auto"/>
        <w:rPr>
          <w:sz w:val="20"/>
          <w:szCs w:val="20"/>
          <w:color w:val="auto"/>
        </w:rPr>
      </w:pPr>
      <w:r>
        <w:rPr>
          <w:rFonts w:ascii="Arial" w:cs="Arial" w:eastAsia="Arial" w:hAnsi="Arial"/>
          <w:sz w:val="22"/>
          <w:szCs w:val="22"/>
          <w:color w:val="auto"/>
        </w:rPr>
        <w:t>Company’s supplying to any third-party recordkeeper of the Plan such personal information as the Committee deems advisable to administer the Plan).</w:t>
      </w:r>
    </w:p>
    <w:p>
      <w:pPr>
        <w:spacing w:after="0" w:line="175" w:lineRule="exact"/>
        <w:rPr>
          <w:sz w:val="20"/>
          <w:szCs w:val="20"/>
          <w:color w:val="auto"/>
        </w:rPr>
      </w:pPr>
    </w:p>
    <w:p>
      <w:pPr>
        <w:jc w:val="both"/>
        <w:ind w:right="400" w:firstLine="1304"/>
        <w:spacing w:after="0" w:line="254" w:lineRule="auto"/>
        <w:tabs>
          <w:tab w:leader="none" w:pos="1716" w:val="left"/>
        </w:tabs>
        <w:numPr>
          <w:ilvl w:val="0"/>
          <w:numId w:val="120"/>
        </w:numPr>
        <w:rPr>
          <w:rFonts w:ascii="Arial" w:cs="Arial" w:eastAsia="Arial" w:hAnsi="Arial"/>
          <w:sz w:val="22"/>
          <w:szCs w:val="22"/>
          <w:color w:val="010000"/>
        </w:rPr>
      </w:pPr>
      <w:r>
        <w:rPr>
          <w:rFonts w:ascii="Arial" w:cs="Arial" w:eastAsia="Arial" w:hAnsi="Arial"/>
          <w:sz w:val="22"/>
          <w:szCs w:val="22"/>
          <w:u w:val="single" w:color="auto"/>
          <w:color w:val="auto"/>
        </w:rPr>
        <w:t>Legends</w:t>
      </w:r>
      <w:r>
        <w:rPr>
          <w:rFonts w:ascii="Arial" w:cs="Arial" w:eastAsia="Arial" w:hAnsi="Arial"/>
          <w:sz w:val="22"/>
          <w:szCs w:val="22"/>
          <w:color w:val="auto"/>
        </w:rPr>
        <w:t>. The Company may affix to certificates for Shares issued pursuant to this Award Agreement any legend that the Committee determines to be necessary or advisable (including to reflect any restrictions to which you may be subject under any applicable securities laws). The Company may advise the transfer agent to place a stop order against any legended Shares.</w:t>
      </w:r>
    </w:p>
    <w:p>
      <w:pPr>
        <w:spacing w:after="0" w:line="158" w:lineRule="exact"/>
        <w:rPr>
          <w:sz w:val="20"/>
          <w:szCs w:val="20"/>
          <w:color w:val="auto"/>
        </w:rPr>
      </w:pPr>
    </w:p>
    <w:p>
      <w:pPr>
        <w:ind w:right="480" w:firstLine="1296"/>
        <w:spacing w:after="0" w:line="247" w:lineRule="auto"/>
        <w:rPr>
          <w:sz w:val="20"/>
          <w:szCs w:val="20"/>
          <w:color w:val="auto"/>
        </w:rPr>
      </w:pPr>
      <w:r>
        <w:rPr>
          <w:rFonts w:ascii="Arial" w:cs="Arial" w:eastAsia="Arial" w:hAnsi="Arial"/>
          <w:sz w:val="21"/>
          <w:szCs w:val="21"/>
          <w:color w:val="010000"/>
        </w:rPr>
        <w:t xml:space="preserve">SECTION 8. </w:t>
      </w:r>
      <w:r>
        <w:rPr>
          <w:rFonts w:ascii="Arial" w:cs="Arial" w:eastAsia="Arial" w:hAnsi="Arial"/>
          <w:sz w:val="21"/>
          <w:szCs w:val="21"/>
          <w:u w:val="single" w:color="auto"/>
          <w:color w:val="000000"/>
        </w:rPr>
        <w:t>Successors and Assigns of the Company</w:t>
      </w:r>
      <w:r>
        <w:rPr>
          <w:rFonts w:ascii="Arial" w:cs="Arial" w:eastAsia="Arial" w:hAnsi="Arial"/>
          <w:sz w:val="21"/>
          <w:szCs w:val="21"/>
          <w:color w:val="000000"/>
        </w:rPr>
        <w:t>. The terms and conditions of this Award</w:t>
      </w:r>
      <w:r>
        <w:rPr>
          <w:rFonts w:ascii="Arial" w:cs="Arial" w:eastAsia="Arial" w:hAnsi="Arial"/>
          <w:sz w:val="21"/>
          <w:szCs w:val="21"/>
          <w:color w:val="010000"/>
        </w:rPr>
        <w:t xml:space="preserve"> </w:t>
      </w:r>
      <w:r>
        <w:rPr>
          <w:rFonts w:ascii="Arial" w:cs="Arial" w:eastAsia="Arial" w:hAnsi="Arial"/>
          <w:sz w:val="21"/>
          <w:szCs w:val="21"/>
          <w:color w:val="000000"/>
        </w:rPr>
        <w:t>Agreement shall be binding upon and shall inure to the benefit of the Company and its successors and assigns.</w:t>
      </w:r>
    </w:p>
    <w:p>
      <w:pPr>
        <w:spacing w:after="0" w:line="15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010000"/>
        </w:rPr>
        <w:t xml:space="preserve">SECTION 9. </w:t>
      </w:r>
      <w:r>
        <w:rPr>
          <w:rFonts w:ascii="Arial" w:cs="Arial" w:eastAsia="Arial" w:hAnsi="Arial"/>
          <w:sz w:val="22"/>
          <w:szCs w:val="22"/>
          <w:u w:val="single" w:color="auto"/>
          <w:color w:val="000000"/>
        </w:rPr>
        <w:t>Committee Discretion</w:t>
      </w:r>
      <w:r>
        <w:rPr>
          <w:rFonts w:ascii="Arial" w:cs="Arial" w:eastAsia="Arial" w:hAnsi="Arial"/>
          <w:sz w:val="22"/>
          <w:szCs w:val="22"/>
          <w:color w:val="000000"/>
        </w:rPr>
        <w:t>. The Compensation Committee of the Board shall have full and</w:t>
      </w:r>
      <w:r>
        <w:rPr>
          <w:rFonts w:ascii="Arial" w:cs="Arial" w:eastAsia="Arial" w:hAnsi="Arial"/>
          <w:sz w:val="22"/>
          <w:szCs w:val="22"/>
          <w:color w:val="010000"/>
        </w:rPr>
        <w:t xml:space="preserve"> </w:t>
      </w:r>
      <w:r>
        <w:rPr>
          <w:rFonts w:ascii="Arial" w:cs="Arial" w:eastAsia="Arial" w:hAnsi="Arial"/>
          <w:sz w:val="22"/>
          <w:szCs w:val="22"/>
          <w:color w:val="000000"/>
        </w:rPr>
        <w:t>plenary discretion with respect to any actions to be taken or determinations to be made in connection with this Award Agreement, and its determinations shall be final, binding and conclusive.</w:t>
      </w:r>
    </w:p>
    <w:p>
      <w:pPr>
        <w:spacing w:after="0" w:line="159" w:lineRule="exact"/>
        <w:rPr>
          <w:sz w:val="20"/>
          <w:szCs w:val="20"/>
          <w:color w:val="auto"/>
        </w:rPr>
      </w:pPr>
    </w:p>
    <w:p>
      <w:pPr>
        <w:ind w:left="1300"/>
        <w:spacing w:after="0"/>
        <w:tabs>
          <w:tab w:leader="none" w:pos="3820" w:val="left"/>
        </w:tabs>
        <w:rPr>
          <w:sz w:val="20"/>
          <w:szCs w:val="20"/>
          <w:color w:val="auto"/>
        </w:rPr>
      </w:pPr>
      <w:r>
        <w:rPr>
          <w:rFonts w:ascii="Arial" w:cs="Arial" w:eastAsia="Arial" w:hAnsi="Arial"/>
          <w:sz w:val="22"/>
          <w:szCs w:val="22"/>
          <w:color w:val="010000"/>
        </w:rPr>
        <w:t>SECTION 10.</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206" w:lineRule="exact"/>
        <w:rPr>
          <w:sz w:val="20"/>
          <w:szCs w:val="20"/>
          <w:color w:val="auto"/>
        </w:rPr>
      </w:pPr>
    </w:p>
    <w:p>
      <w:pPr>
        <w:ind w:firstLine="1304"/>
        <w:spacing w:after="0" w:line="288" w:lineRule="auto"/>
        <w:tabs>
          <w:tab w:leader="none" w:pos="1716" w:val="left"/>
        </w:tabs>
        <w:numPr>
          <w:ilvl w:val="0"/>
          <w:numId w:val="121"/>
        </w:numPr>
        <w:rPr>
          <w:rFonts w:ascii="Arial" w:cs="Arial" w:eastAsia="Arial" w:hAnsi="Arial"/>
          <w:sz w:val="19"/>
          <w:szCs w:val="19"/>
          <w:color w:val="010000"/>
        </w:rPr>
      </w:pPr>
      <w:r>
        <w:rPr>
          <w:rFonts w:ascii="Arial" w:cs="Arial" w:eastAsia="Arial" w:hAnsi="Arial"/>
          <w:sz w:val="19"/>
          <w:szCs w:val="19"/>
          <w:u w:val="single" w:color="auto"/>
          <w:color w:val="auto"/>
        </w:rPr>
        <w:t>Jurisdiction and Venue</w:t>
      </w:r>
      <w:r>
        <w:rPr>
          <w:rFonts w:ascii="Arial" w:cs="Arial" w:eastAsia="Arial" w:hAnsi="Arial"/>
          <w:sz w:val="19"/>
          <w:szCs w:val="19"/>
          <w:color w:val="auto"/>
        </w:rPr>
        <w:t>. Notwithstanding any provision in your Employment Agreement, you and the Company irrevocably submit to the exclusive jurisdiction of (i) the United States District Court for the Southern District of New York and (ii) the courts of the State of New York for the purposes of any suit, action or other proceeding arising out of this Award Agreement or the Plan. You and the Company agree to commence any such action, suit or proceeding either in the United States District Court for the Southern District of New York or, in the courts of the State of New York. You and the Company further agree that service of any process, summons, notice or document by U.S. registered mail to the other party’s address set forth below shall be effective service of process for any action, suit or proceeding in New York with respect to any matters to which you have submitted to jurisdiction in this Section 10(a). You and the Company irrevocably and unconditionally waive any objection to the laying of venue of any action, suit or proceeding arising out of this Award Agreement or the Plan in (A) the United States District Court for the Southern District of New York or (B) the courts of the State of New York, and hereby and thereby further irrevocably and unconditionally waive and agree not to plead or claim in any such court that any such action, suit or proceeding brought in any such court has been brought in an inconvenient forum.</w:t>
      </w:r>
    </w:p>
    <w:p>
      <w:pPr>
        <w:spacing w:after="0" w:line="161" w:lineRule="exact"/>
        <w:rPr>
          <w:rFonts w:ascii="Arial" w:cs="Arial" w:eastAsia="Arial" w:hAnsi="Arial"/>
          <w:sz w:val="19"/>
          <w:szCs w:val="19"/>
          <w:color w:val="010000"/>
        </w:rPr>
      </w:pPr>
    </w:p>
    <w:p>
      <w:pPr>
        <w:ind w:right="220" w:firstLine="1304"/>
        <w:spacing w:after="0" w:line="259" w:lineRule="auto"/>
        <w:tabs>
          <w:tab w:leader="none" w:pos="1728" w:val="left"/>
        </w:tabs>
        <w:numPr>
          <w:ilvl w:val="0"/>
          <w:numId w:val="121"/>
        </w:numPr>
        <w:rPr>
          <w:rFonts w:ascii="Arial" w:cs="Arial" w:eastAsia="Arial" w:hAnsi="Arial"/>
          <w:sz w:val="22"/>
          <w:szCs w:val="22"/>
          <w:color w:val="010000"/>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You and the Company hereby waive, to the fullest extent permitted by applicable law, any right either of you may have to a trial by jury in respect to any litigation directly or indirectly arising out of, under or in connection with this Award Agreement or the Plan.</w:t>
      </w:r>
    </w:p>
    <w:p>
      <w:pPr>
        <w:spacing w:after="0" w:line="180" w:lineRule="exact"/>
        <w:rPr>
          <w:rFonts w:ascii="Arial" w:cs="Arial" w:eastAsia="Arial" w:hAnsi="Arial"/>
          <w:sz w:val="22"/>
          <w:szCs w:val="22"/>
          <w:color w:val="010000"/>
        </w:rPr>
      </w:pPr>
    </w:p>
    <w:p>
      <w:pPr>
        <w:ind w:right="320" w:firstLine="1304"/>
        <w:spacing w:after="0" w:line="358" w:lineRule="auto"/>
        <w:tabs>
          <w:tab w:leader="none" w:pos="1716" w:val="left"/>
        </w:tabs>
        <w:numPr>
          <w:ilvl w:val="0"/>
          <w:numId w:val="121"/>
        </w:numPr>
        <w:rPr>
          <w:rFonts w:ascii="Arial" w:cs="Arial" w:eastAsia="Arial" w:hAnsi="Arial"/>
          <w:sz w:val="19"/>
          <w:szCs w:val="19"/>
          <w:color w:val="010000"/>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You hereby agree to keep confidential the existence of, and any information concerning, a dispute described in this Section 10, except that you may disclose information concerning such dispute to the court that is</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C-5</w:t>
      </w:r>
    </w:p>
    <w:p>
      <w:pPr>
        <w:sectPr>
          <w:pgSz w:w="11900" w:h="16838" w:orient="portrait"/>
          <w:cols w:equalWidth="0" w:num="1">
            <w:col w:w="11220"/>
          </w:cols>
          <w:pgMar w:left="320" w:top="604" w:right="359" w:bottom="1440" w:gutter="0" w:footer="0" w:header="0"/>
        </w:sectPr>
      </w:pPr>
    </w:p>
    <w:bookmarkStart w:id="120" w:name="page121"/>
    <w:bookmarkEnd w:id="120"/>
    <w:p>
      <w:pPr>
        <w:ind w:right="240"/>
        <w:spacing w:after="0" w:line="263" w:lineRule="auto"/>
        <w:rPr>
          <w:sz w:val="20"/>
          <w:szCs w:val="20"/>
          <w:color w:val="auto"/>
        </w:rPr>
      </w:pPr>
      <w:r>
        <w:rPr>
          <w:rFonts w:ascii="Arial" w:cs="Arial" w:eastAsia="Arial" w:hAnsi="Arial"/>
          <w:sz w:val="22"/>
          <w:szCs w:val="22"/>
          <w:color w:val="auto"/>
        </w:rPr>
        <w:t>considering such dispute or to your legal counsel (provided that such counsel agrees not to disclose any such information other than as necessary to the prosecution or defense of the dispute).</w:t>
      </w:r>
    </w:p>
    <w:p>
      <w:pPr>
        <w:spacing w:after="0" w:line="148" w:lineRule="exact"/>
        <w:rPr>
          <w:sz w:val="20"/>
          <w:szCs w:val="20"/>
          <w:color w:val="auto"/>
        </w:rPr>
      </w:pPr>
    </w:p>
    <w:p>
      <w:pPr>
        <w:ind w:right="160" w:firstLine="1296"/>
        <w:spacing w:after="0" w:line="229" w:lineRule="auto"/>
        <w:rPr>
          <w:sz w:val="20"/>
          <w:szCs w:val="20"/>
          <w:color w:val="auto"/>
        </w:rPr>
      </w:pPr>
      <w:r>
        <w:rPr>
          <w:rFonts w:ascii="Arial" w:cs="Arial" w:eastAsia="Arial" w:hAnsi="Arial"/>
          <w:sz w:val="21"/>
          <w:szCs w:val="21"/>
          <w:color w:val="010000"/>
        </w:rPr>
        <w:t xml:space="preserve">SECTION 11. </w:t>
      </w:r>
      <w:r>
        <w:rPr>
          <w:rFonts w:ascii="Arial" w:cs="Arial" w:eastAsia="Arial" w:hAnsi="Arial"/>
          <w:sz w:val="21"/>
          <w:szCs w:val="21"/>
          <w:u w:val="single" w:color="auto"/>
          <w:color w:val="000000"/>
        </w:rPr>
        <w:t>Notice</w:t>
      </w:r>
      <w:r>
        <w:rPr>
          <w:rFonts w:ascii="Arial" w:cs="Arial" w:eastAsia="Arial" w:hAnsi="Arial"/>
          <w:sz w:val="21"/>
          <w:szCs w:val="21"/>
          <w:color w:val="000000"/>
        </w:rPr>
        <w:t>. All notices, requests, demands and other communications required or</w:t>
      </w:r>
      <w:r>
        <w:rPr>
          <w:rFonts w:ascii="Arial" w:cs="Arial" w:eastAsia="Arial" w:hAnsi="Arial"/>
          <w:sz w:val="21"/>
          <w:szCs w:val="21"/>
          <w:color w:val="010000"/>
        </w:rPr>
        <w:t xml:space="preserve"> </w:t>
      </w:r>
      <w:r>
        <w:rPr>
          <w:rFonts w:ascii="Arial" w:cs="Arial" w:eastAsia="Arial" w:hAnsi="Arial"/>
          <w:sz w:val="21"/>
          <w:szCs w:val="21"/>
          <w:color w:val="000000"/>
        </w:rPr>
        <w:t>permitted to be given under the terms of this Award Agreement shall be in writing and shall be deemed to have been duly given when delivered by hand or overnight courier or three business days after they have been mailed by U.S. certified or registered mail, return receipt requested, postage prepaid, addressed to the other party as set forth below:</w:t>
      </w:r>
    </w:p>
    <w:p>
      <w:pPr>
        <w:spacing w:after="0" w:line="320" w:lineRule="exact"/>
        <w:rPr>
          <w:sz w:val="20"/>
          <w:szCs w:val="20"/>
          <w:color w:val="auto"/>
        </w:rPr>
      </w:pPr>
    </w:p>
    <w:tbl>
      <w:tblPr>
        <w:tblLayout w:type="fixed"/>
        <w:tblInd w:w="600" w:type="dxa"/>
        <w:tblCellMar>
          <w:top w:w="0" w:type="dxa"/>
          <w:left w:w="0" w:type="dxa"/>
          <w:bottom w:w="0" w:type="dxa"/>
          <w:right w:w="0" w:type="dxa"/>
        </w:tblCellMar>
      </w:tblPr>
      <w:tr>
        <w:trPr>
          <w:trHeight w:val="270"/>
        </w:trPr>
        <w:tc>
          <w:tcPr>
            <w:tcW w:w="2620" w:type="dxa"/>
            <w:vAlign w:val="bottom"/>
          </w:tcPr>
          <w:p>
            <w:pPr>
              <w:spacing w:after="0"/>
              <w:rPr>
                <w:sz w:val="20"/>
                <w:szCs w:val="20"/>
                <w:color w:val="auto"/>
              </w:rPr>
            </w:pPr>
            <w:r>
              <w:rPr>
                <w:rFonts w:ascii="Arial" w:cs="Arial" w:eastAsia="Arial" w:hAnsi="Arial"/>
                <w:sz w:val="22"/>
                <w:szCs w:val="22"/>
                <w:color w:val="auto"/>
              </w:rPr>
              <w:t>If to the Company:</w:t>
            </w:r>
          </w:p>
        </w:tc>
        <w:tc>
          <w:tcPr>
            <w:tcW w:w="7180" w:type="dxa"/>
            <w:vAlign w:val="bottom"/>
          </w:tcPr>
          <w:p>
            <w:pPr>
              <w:ind w:left="980"/>
              <w:spacing w:after="0"/>
              <w:rPr>
                <w:sz w:val="20"/>
                <w:szCs w:val="20"/>
                <w:color w:val="auto"/>
              </w:rPr>
            </w:pPr>
            <w:r>
              <w:rPr>
                <w:rFonts w:ascii="Arial" w:cs="Arial" w:eastAsia="Arial" w:hAnsi="Arial"/>
                <w:sz w:val="22"/>
                <w:szCs w:val="22"/>
                <w:color w:val="auto"/>
              </w:rPr>
              <w:t>XPO Logistics, Inc.</w:t>
            </w:r>
          </w:p>
        </w:tc>
      </w:tr>
      <w:tr>
        <w:trPr>
          <w:trHeight w:val="243"/>
        </w:trPr>
        <w:tc>
          <w:tcPr>
            <w:tcW w:w="2620" w:type="dxa"/>
            <w:vAlign w:val="bottom"/>
          </w:tcPr>
          <w:p>
            <w:pPr>
              <w:spacing w:after="0"/>
              <w:rPr>
                <w:sz w:val="21"/>
                <w:szCs w:val="21"/>
                <w:color w:val="auto"/>
              </w:rPr>
            </w:pPr>
          </w:p>
        </w:tc>
        <w:tc>
          <w:tcPr>
            <w:tcW w:w="7180" w:type="dxa"/>
            <w:vAlign w:val="bottom"/>
          </w:tcPr>
          <w:p>
            <w:pPr>
              <w:ind w:left="980"/>
              <w:spacing w:after="0" w:line="243" w:lineRule="exact"/>
              <w:rPr>
                <w:sz w:val="20"/>
                <w:szCs w:val="20"/>
                <w:color w:val="auto"/>
              </w:rPr>
            </w:pPr>
            <w:r>
              <w:rPr>
                <w:rFonts w:ascii="Arial" w:cs="Arial" w:eastAsia="Arial" w:hAnsi="Arial"/>
                <w:sz w:val="22"/>
                <w:szCs w:val="22"/>
                <w:color w:val="auto"/>
              </w:rPr>
              <w:t>Five American Lane</w:t>
            </w:r>
          </w:p>
        </w:tc>
      </w:tr>
      <w:tr>
        <w:trPr>
          <w:trHeight w:val="243"/>
        </w:trPr>
        <w:tc>
          <w:tcPr>
            <w:tcW w:w="2620" w:type="dxa"/>
            <w:vAlign w:val="bottom"/>
          </w:tcPr>
          <w:p>
            <w:pPr>
              <w:spacing w:after="0"/>
              <w:rPr>
                <w:sz w:val="21"/>
                <w:szCs w:val="21"/>
                <w:color w:val="auto"/>
              </w:rPr>
            </w:pPr>
          </w:p>
        </w:tc>
        <w:tc>
          <w:tcPr>
            <w:tcW w:w="7180" w:type="dxa"/>
            <w:vAlign w:val="bottom"/>
          </w:tcPr>
          <w:p>
            <w:pPr>
              <w:ind w:left="980"/>
              <w:spacing w:after="0" w:line="243" w:lineRule="exact"/>
              <w:rPr>
                <w:sz w:val="20"/>
                <w:szCs w:val="20"/>
                <w:color w:val="auto"/>
              </w:rPr>
            </w:pPr>
            <w:r>
              <w:rPr>
                <w:rFonts w:ascii="Arial" w:cs="Arial" w:eastAsia="Arial" w:hAnsi="Arial"/>
                <w:sz w:val="22"/>
                <w:szCs w:val="22"/>
                <w:color w:val="auto"/>
              </w:rPr>
              <w:t>Greenwich, CT 06831</w:t>
            </w:r>
          </w:p>
        </w:tc>
      </w:tr>
      <w:tr>
        <w:trPr>
          <w:trHeight w:val="274"/>
        </w:trPr>
        <w:tc>
          <w:tcPr>
            <w:tcW w:w="2620" w:type="dxa"/>
            <w:vAlign w:val="bottom"/>
          </w:tcPr>
          <w:p>
            <w:pPr>
              <w:spacing w:after="0"/>
              <w:rPr>
                <w:sz w:val="23"/>
                <w:szCs w:val="23"/>
                <w:color w:val="auto"/>
              </w:rPr>
            </w:pPr>
          </w:p>
        </w:tc>
        <w:tc>
          <w:tcPr>
            <w:tcW w:w="7180" w:type="dxa"/>
            <w:vAlign w:val="bottom"/>
          </w:tcPr>
          <w:p>
            <w:pPr>
              <w:ind w:left="980"/>
              <w:spacing w:after="0"/>
              <w:rPr>
                <w:sz w:val="20"/>
                <w:szCs w:val="20"/>
                <w:color w:val="auto"/>
              </w:rPr>
            </w:pPr>
            <w:r>
              <w:rPr>
                <w:rFonts w:ascii="Arial" w:cs="Arial" w:eastAsia="Arial" w:hAnsi="Arial"/>
                <w:sz w:val="22"/>
                <w:szCs w:val="22"/>
                <w:color w:val="auto"/>
              </w:rPr>
              <w:t>Attention: Chief Human Resources Officer</w:t>
            </w:r>
          </w:p>
        </w:tc>
      </w:tr>
      <w:tr>
        <w:trPr>
          <w:trHeight w:val="266"/>
        </w:trPr>
        <w:tc>
          <w:tcPr>
            <w:tcW w:w="2620" w:type="dxa"/>
            <w:vAlign w:val="bottom"/>
          </w:tcPr>
          <w:p>
            <w:pPr>
              <w:spacing w:after="0"/>
              <w:rPr>
                <w:sz w:val="20"/>
                <w:szCs w:val="20"/>
                <w:color w:val="auto"/>
              </w:rPr>
            </w:pPr>
            <w:r>
              <w:rPr>
                <w:rFonts w:ascii="Arial" w:cs="Arial" w:eastAsia="Arial" w:hAnsi="Arial"/>
                <w:sz w:val="22"/>
                <w:szCs w:val="22"/>
                <w:color w:val="auto"/>
              </w:rPr>
              <w:t>If to you:</w:t>
            </w:r>
          </w:p>
        </w:tc>
        <w:tc>
          <w:tcPr>
            <w:tcW w:w="7180" w:type="dxa"/>
            <w:vAlign w:val="bottom"/>
          </w:tcPr>
          <w:p>
            <w:pPr>
              <w:ind w:left="980"/>
              <w:spacing w:after="0"/>
              <w:rPr>
                <w:sz w:val="20"/>
                <w:szCs w:val="20"/>
                <w:color w:val="auto"/>
              </w:rPr>
            </w:pPr>
            <w:r>
              <w:rPr>
                <w:rFonts w:ascii="Arial" w:cs="Arial" w:eastAsia="Arial" w:hAnsi="Arial"/>
                <w:sz w:val="22"/>
                <w:szCs w:val="22"/>
                <w:color w:val="auto"/>
                <w:w w:val="87"/>
              </w:rPr>
              <w:t>To your address as most recently supplied to the Company and set forth</w:t>
            </w:r>
          </w:p>
        </w:tc>
      </w:tr>
      <w:tr>
        <w:trPr>
          <w:trHeight w:val="274"/>
        </w:trPr>
        <w:tc>
          <w:tcPr>
            <w:tcW w:w="2620" w:type="dxa"/>
            <w:vAlign w:val="bottom"/>
          </w:tcPr>
          <w:p>
            <w:pPr>
              <w:spacing w:after="0"/>
              <w:rPr>
                <w:sz w:val="23"/>
                <w:szCs w:val="23"/>
                <w:color w:val="auto"/>
              </w:rPr>
            </w:pPr>
          </w:p>
        </w:tc>
        <w:tc>
          <w:tcPr>
            <w:tcW w:w="7180" w:type="dxa"/>
            <w:vAlign w:val="bottom"/>
          </w:tcPr>
          <w:p>
            <w:pPr>
              <w:ind w:left="980"/>
              <w:spacing w:after="0"/>
              <w:rPr>
                <w:sz w:val="20"/>
                <w:szCs w:val="20"/>
                <w:color w:val="auto"/>
              </w:rPr>
            </w:pPr>
            <w:r>
              <w:rPr>
                <w:rFonts w:ascii="Arial" w:cs="Arial" w:eastAsia="Arial" w:hAnsi="Arial"/>
                <w:sz w:val="22"/>
                <w:szCs w:val="22"/>
                <w:color w:val="auto"/>
              </w:rPr>
              <w:t>in the Company’s records</w:t>
            </w:r>
          </w:p>
        </w:tc>
      </w:tr>
    </w:tbl>
    <w:p>
      <w:pPr>
        <w:spacing w:after="0" w:line="9"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The parties may change the address to which notices under this Award Agreement shall be sent by providing written notice to the other in the manner specified above.</w:t>
      </w:r>
    </w:p>
    <w:p>
      <w:pPr>
        <w:spacing w:after="0" w:line="148" w:lineRule="exact"/>
        <w:rPr>
          <w:sz w:val="20"/>
          <w:szCs w:val="20"/>
          <w:color w:val="auto"/>
        </w:rPr>
      </w:pPr>
    </w:p>
    <w:p>
      <w:pPr>
        <w:ind w:right="160" w:firstLine="1296"/>
        <w:spacing w:after="0" w:line="223" w:lineRule="auto"/>
        <w:rPr>
          <w:sz w:val="20"/>
          <w:szCs w:val="20"/>
          <w:color w:val="auto"/>
        </w:rPr>
      </w:pPr>
      <w:r>
        <w:rPr>
          <w:rFonts w:ascii="Arial" w:cs="Arial" w:eastAsia="Arial" w:hAnsi="Arial"/>
          <w:sz w:val="22"/>
          <w:szCs w:val="22"/>
          <w:color w:val="010000"/>
        </w:rPr>
        <w:t xml:space="preserve">SECTION 12. </w:t>
      </w:r>
      <w:r>
        <w:rPr>
          <w:rFonts w:ascii="Arial" w:cs="Arial" w:eastAsia="Arial" w:hAnsi="Arial"/>
          <w:sz w:val="22"/>
          <w:szCs w:val="22"/>
          <w:u w:val="single" w:color="auto"/>
          <w:color w:val="000000"/>
        </w:rPr>
        <w:t>Governing Law</w:t>
      </w:r>
      <w:r>
        <w:rPr>
          <w:rFonts w:ascii="Arial" w:cs="Arial" w:eastAsia="Arial" w:hAnsi="Arial"/>
          <w:sz w:val="22"/>
          <w:szCs w:val="22"/>
          <w:color w:val="000000"/>
        </w:rPr>
        <w:t>. This Award Agreement shall be deemed to be made in the State of</w:t>
      </w:r>
      <w:r>
        <w:rPr>
          <w:rFonts w:ascii="Arial" w:cs="Arial" w:eastAsia="Arial" w:hAnsi="Arial"/>
          <w:sz w:val="22"/>
          <w:szCs w:val="22"/>
          <w:color w:val="010000"/>
        </w:rPr>
        <w:t xml:space="preserve"> </w:t>
      </w:r>
      <w:r>
        <w:rPr>
          <w:rFonts w:ascii="Arial" w:cs="Arial" w:eastAsia="Arial" w:hAnsi="Arial"/>
          <w:sz w:val="22"/>
          <w:szCs w:val="22"/>
          <w:color w:val="000000"/>
        </w:rPr>
        <w:t>Delaware, and the validity, construction and effect of this Award Agreement in all respects shall be determined in accordance with the laws of the State of Delaware, without giving effect to the conflict of law principles thereof.</w:t>
      </w:r>
    </w:p>
    <w:p>
      <w:pPr>
        <w:spacing w:after="0" w:line="159" w:lineRule="exact"/>
        <w:rPr>
          <w:sz w:val="20"/>
          <w:szCs w:val="20"/>
          <w:color w:val="auto"/>
        </w:rPr>
      </w:pPr>
    </w:p>
    <w:p>
      <w:pPr>
        <w:ind w:right="140" w:firstLine="1296"/>
        <w:spacing w:after="0" w:line="216" w:lineRule="auto"/>
        <w:rPr>
          <w:sz w:val="20"/>
          <w:szCs w:val="20"/>
          <w:color w:val="auto"/>
        </w:rPr>
      </w:pPr>
      <w:r>
        <w:rPr>
          <w:rFonts w:ascii="Arial" w:cs="Arial" w:eastAsia="Arial" w:hAnsi="Arial"/>
          <w:sz w:val="22"/>
          <w:szCs w:val="22"/>
          <w:color w:val="010000"/>
        </w:rPr>
        <w:t xml:space="preserve">SECTION 13. </w:t>
      </w:r>
      <w:r>
        <w:rPr>
          <w:rFonts w:ascii="Arial" w:cs="Arial" w:eastAsia="Arial" w:hAnsi="Arial"/>
          <w:sz w:val="22"/>
          <w:szCs w:val="22"/>
          <w:u w:val="single" w:color="auto"/>
          <w:color w:val="000000"/>
        </w:rPr>
        <w:t>Headings and Construction</w:t>
      </w:r>
      <w:r>
        <w:rPr>
          <w:rFonts w:ascii="Arial" w:cs="Arial" w:eastAsia="Arial" w:hAnsi="Arial"/>
          <w:sz w:val="22"/>
          <w:szCs w:val="22"/>
          <w:color w:val="000000"/>
        </w:rPr>
        <w:t>. Headings are given to the Sections and subsections of</w:t>
      </w:r>
      <w:r>
        <w:rPr>
          <w:rFonts w:ascii="Arial" w:cs="Arial" w:eastAsia="Arial" w:hAnsi="Arial"/>
          <w:sz w:val="22"/>
          <w:szCs w:val="22"/>
          <w:color w:val="010000"/>
        </w:rPr>
        <w:t xml:space="preserve"> </w:t>
      </w:r>
      <w:r>
        <w:rPr>
          <w:rFonts w:ascii="Arial" w:cs="Arial" w:eastAsia="Arial" w:hAnsi="Arial"/>
          <w:sz w:val="22"/>
          <w:szCs w:val="22"/>
          <w:color w:val="000000"/>
        </w:rPr>
        <w:t>this Award Agreement solely as a convenience to facilitate reference. Such headings shall not be deemed in any way material or relevant to the construction or interpretation of this Award Agreement or any provision thereof. Whenever the words “include,” “includes” or “including” are used in this Award Agreement, they shall be deemed to be followed by the words “but not limited to”. The term “or” is not exclusive.</w:t>
      </w:r>
    </w:p>
    <w:p>
      <w:pPr>
        <w:spacing w:after="0" w:line="158" w:lineRule="exact"/>
        <w:rPr>
          <w:sz w:val="20"/>
          <w:szCs w:val="20"/>
          <w:color w:val="auto"/>
        </w:rPr>
      </w:pPr>
    </w:p>
    <w:p>
      <w:pPr>
        <w:ind w:firstLine="1296"/>
        <w:spacing w:after="0" w:line="212" w:lineRule="auto"/>
        <w:rPr>
          <w:sz w:val="20"/>
          <w:szCs w:val="20"/>
          <w:color w:val="auto"/>
        </w:rPr>
      </w:pPr>
      <w:r>
        <w:rPr>
          <w:rFonts w:ascii="Arial" w:cs="Arial" w:eastAsia="Arial" w:hAnsi="Arial"/>
          <w:sz w:val="22"/>
          <w:szCs w:val="22"/>
          <w:color w:val="010000"/>
        </w:rPr>
        <w:t xml:space="preserve">SECTION 14. </w:t>
      </w:r>
      <w:r>
        <w:rPr>
          <w:rFonts w:ascii="Arial" w:cs="Arial" w:eastAsia="Arial" w:hAnsi="Arial"/>
          <w:sz w:val="22"/>
          <w:szCs w:val="22"/>
          <w:u w:val="single" w:color="auto"/>
          <w:color w:val="000000"/>
        </w:rPr>
        <w:t>Amendment of this Award Agreement</w:t>
      </w:r>
      <w:r>
        <w:rPr>
          <w:rFonts w:ascii="Arial" w:cs="Arial" w:eastAsia="Arial" w:hAnsi="Arial"/>
          <w:sz w:val="22"/>
          <w:szCs w:val="22"/>
          <w:color w:val="000000"/>
        </w:rPr>
        <w:t>. The Committee may waive any conditions or</w:t>
      </w:r>
      <w:r>
        <w:rPr>
          <w:rFonts w:ascii="Arial" w:cs="Arial" w:eastAsia="Arial" w:hAnsi="Arial"/>
          <w:sz w:val="22"/>
          <w:szCs w:val="22"/>
          <w:color w:val="010000"/>
        </w:rPr>
        <w:t xml:space="preserve"> </w:t>
      </w:r>
      <w:r>
        <w:rPr>
          <w:rFonts w:ascii="Arial" w:cs="Arial" w:eastAsia="Arial" w:hAnsi="Arial"/>
          <w:sz w:val="22"/>
          <w:szCs w:val="22"/>
          <w:color w:val="000000"/>
        </w:rPr>
        <w:t xml:space="preserve">rights under, amend any terms of, or alter, suspend, discontinue, cancel or terminate this Award Agreement prospectively or retroactively; </w:t>
      </w:r>
      <w:r>
        <w:rPr>
          <w:rFonts w:ascii="Arial" w:cs="Arial" w:eastAsia="Arial" w:hAnsi="Arial"/>
          <w:sz w:val="22"/>
          <w:szCs w:val="22"/>
          <w:u w:val="single" w:color="auto"/>
          <w:color w:val="000000"/>
        </w:rPr>
        <w:t>provided</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however</w:t>
      </w:r>
      <w:r>
        <w:rPr>
          <w:rFonts w:ascii="Arial" w:cs="Arial" w:eastAsia="Arial" w:hAnsi="Arial"/>
          <w:sz w:val="22"/>
          <w:szCs w:val="22"/>
          <w:color w:val="000000"/>
        </w:rPr>
        <w:t>, that, except as set forth in Section 15(d) of this Award Agreement, any such waiver, amendment, alteration, suspension, discontinuance, cancelation or termination that would materially and adversely impair your rights under this Award Agreement shall not to that extent be effective without your consent (it being understood, notwithstanding the foregoing proviso, that this Award Agreement and the RSUs shall be subject to the provisions of Section 7(c) of the Plan).</w:t>
      </w:r>
    </w:p>
    <w:p>
      <w:pPr>
        <w:spacing w:after="0" w:line="164" w:lineRule="exact"/>
        <w:rPr>
          <w:sz w:val="20"/>
          <w:szCs w:val="20"/>
          <w:color w:val="auto"/>
        </w:rPr>
      </w:pPr>
    </w:p>
    <w:p>
      <w:pPr>
        <w:ind w:left="1300"/>
        <w:spacing w:after="0"/>
        <w:tabs>
          <w:tab w:leader="none" w:pos="3820" w:val="left"/>
        </w:tabs>
        <w:rPr>
          <w:sz w:val="20"/>
          <w:szCs w:val="20"/>
          <w:color w:val="auto"/>
        </w:rPr>
      </w:pPr>
      <w:r>
        <w:rPr>
          <w:rFonts w:ascii="Arial" w:cs="Arial" w:eastAsia="Arial" w:hAnsi="Arial"/>
          <w:sz w:val="22"/>
          <w:szCs w:val="22"/>
          <w:color w:val="010000"/>
        </w:rPr>
        <w:t>SECTION 15.</w:t>
      </w:r>
      <w:r>
        <w:rPr>
          <w:sz w:val="20"/>
          <w:szCs w:val="20"/>
          <w:color w:val="auto"/>
        </w:rPr>
        <w:tab/>
      </w:r>
      <w:r>
        <w:rPr>
          <w:rFonts w:ascii="Arial" w:cs="Arial" w:eastAsia="Arial" w:hAnsi="Arial"/>
          <w:sz w:val="19"/>
          <w:szCs w:val="19"/>
          <w:u w:val="single" w:color="auto"/>
          <w:color w:val="auto"/>
        </w:rPr>
        <w:t>Section 409A</w:t>
      </w:r>
      <w:r>
        <w:rPr>
          <w:rFonts w:ascii="Arial" w:cs="Arial" w:eastAsia="Arial" w:hAnsi="Arial"/>
          <w:sz w:val="19"/>
          <w:szCs w:val="19"/>
          <w:color w:val="auto"/>
        </w:rPr>
        <w:t>.</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C-6</w:t>
      </w:r>
    </w:p>
    <w:p>
      <w:pPr>
        <w:sectPr>
          <w:pgSz w:w="11900" w:h="16838" w:orient="portrait"/>
          <w:cols w:equalWidth="0" w:num="1">
            <w:col w:w="11200"/>
          </w:cols>
          <w:pgMar w:left="320" w:top="604" w:right="379" w:bottom="1440" w:gutter="0" w:footer="0" w:header="0"/>
        </w:sectPr>
      </w:pPr>
    </w:p>
    <w:bookmarkStart w:id="121" w:name="page122"/>
    <w:bookmarkEnd w:id="121"/>
    <w:p>
      <w:pPr>
        <w:ind w:right="180" w:firstLine="1304"/>
        <w:spacing w:after="0" w:line="259" w:lineRule="auto"/>
        <w:tabs>
          <w:tab w:leader="none" w:pos="1716" w:val="left"/>
        </w:tabs>
        <w:numPr>
          <w:ilvl w:val="0"/>
          <w:numId w:val="122"/>
        </w:numPr>
        <w:rPr>
          <w:rFonts w:ascii="Arial" w:cs="Arial" w:eastAsia="Arial" w:hAnsi="Arial"/>
          <w:sz w:val="22"/>
          <w:szCs w:val="22"/>
          <w:color w:val="010000"/>
        </w:rPr>
      </w:pPr>
      <w:r>
        <w:rPr>
          <w:rFonts w:ascii="Arial" w:cs="Arial" w:eastAsia="Arial" w:hAnsi="Arial"/>
          <w:sz w:val="22"/>
          <w:szCs w:val="22"/>
          <w:color w:val="auto"/>
        </w:rPr>
        <w:t>It is intended that the provisions of this Award Agreement comply with Section 409A, and all provisions of this Award Agreement shall be construed and interpreted in a manner consistent with the requirements for avoiding taxes or penalties under Section 409A.</w:t>
      </w:r>
    </w:p>
    <w:p>
      <w:pPr>
        <w:spacing w:after="0" w:line="180" w:lineRule="exact"/>
        <w:rPr>
          <w:rFonts w:ascii="Arial" w:cs="Arial" w:eastAsia="Arial" w:hAnsi="Arial"/>
          <w:sz w:val="22"/>
          <w:szCs w:val="22"/>
          <w:color w:val="010000"/>
        </w:rPr>
      </w:pPr>
    </w:p>
    <w:p>
      <w:pPr>
        <w:ind w:right="100" w:firstLine="1304"/>
        <w:spacing w:after="0" w:line="300" w:lineRule="auto"/>
        <w:tabs>
          <w:tab w:leader="none" w:pos="1728" w:val="left"/>
        </w:tabs>
        <w:numPr>
          <w:ilvl w:val="0"/>
          <w:numId w:val="122"/>
        </w:numPr>
        <w:rPr>
          <w:rFonts w:ascii="Arial" w:cs="Arial" w:eastAsia="Arial" w:hAnsi="Arial"/>
          <w:sz w:val="19"/>
          <w:szCs w:val="19"/>
          <w:color w:val="010000"/>
        </w:rPr>
      </w:pPr>
      <w:r>
        <w:rPr>
          <w:rFonts w:ascii="Arial" w:cs="Arial" w:eastAsia="Arial" w:hAnsi="Arial"/>
          <w:sz w:val="19"/>
          <w:szCs w:val="19"/>
          <w:color w:val="auto"/>
        </w:rPr>
        <w:t>Neither you nor any of your creditors or beneficiaries shall have the right to subject any deferred compensation (within the meaning of Section 409A) payable under this Award Agreement to any anticipation, alienation, sale, transfer, assignment, pledge, encumbrance, attachment or garnishment. Except as permitted under Section 409A, any deferred compensation (within the meaning of Section 409A) payable to you or for your benefit under this Award Agreement may not be reduced by, or offset against, any amount owing by you to the Company or any of its Affiliates.</w:t>
      </w:r>
    </w:p>
    <w:p>
      <w:pPr>
        <w:spacing w:after="0" w:line="146" w:lineRule="exact"/>
        <w:rPr>
          <w:rFonts w:ascii="Arial" w:cs="Arial" w:eastAsia="Arial" w:hAnsi="Arial"/>
          <w:sz w:val="19"/>
          <w:szCs w:val="19"/>
          <w:color w:val="010000"/>
        </w:rPr>
      </w:pPr>
    </w:p>
    <w:p>
      <w:pPr>
        <w:ind w:firstLine="1304"/>
        <w:spacing w:after="0" w:line="292" w:lineRule="auto"/>
        <w:tabs>
          <w:tab w:leader="none" w:pos="1716" w:val="left"/>
        </w:tabs>
        <w:numPr>
          <w:ilvl w:val="0"/>
          <w:numId w:val="122"/>
        </w:numPr>
        <w:rPr>
          <w:rFonts w:ascii="Arial" w:cs="Arial" w:eastAsia="Arial" w:hAnsi="Arial"/>
          <w:sz w:val="19"/>
          <w:szCs w:val="19"/>
          <w:color w:val="010000"/>
        </w:rPr>
      </w:pPr>
      <w:r>
        <w:rPr>
          <w:rFonts w:ascii="Arial" w:cs="Arial" w:eastAsia="Arial" w:hAnsi="Arial"/>
          <w:sz w:val="19"/>
          <w:szCs w:val="19"/>
          <w:color w:val="auto"/>
        </w:rPr>
        <w:t>If, at the time of your separation from service (within the meaning of Section 409A), (i) you shall be a specified employee (within the meaning of Section 409A and using the identification methodology selected by the Company from time to time) and (ii) 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(except as otherwise provided in your Employment Agreement), on the first business day after such six-month period. For purposes of Section 409A, each payment hereunder will be deemed to be a separate payment as permitted under Treasury Regulation Section 1.409A-2(b)(2)(iii).</w:t>
      </w:r>
    </w:p>
    <w:p>
      <w:pPr>
        <w:spacing w:after="0" w:line="154" w:lineRule="exact"/>
        <w:rPr>
          <w:rFonts w:ascii="Arial" w:cs="Arial" w:eastAsia="Arial" w:hAnsi="Arial"/>
          <w:sz w:val="19"/>
          <w:szCs w:val="19"/>
          <w:color w:val="010000"/>
        </w:rPr>
      </w:pPr>
    </w:p>
    <w:p>
      <w:pPr>
        <w:ind w:firstLine="1304"/>
        <w:spacing w:after="0" w:line="248" w:lineRule="auto"/>
        <w:tabs>
          <w:tab w:leader="none" w:pos="1728" w:val="left"/>
        </w:tabs>
        <w:numPr>
          <w:ilvl w:val="0"/>
          <w:numId w:val="122"/>
        </w:numPr>
        <w:rPr>
          <w:rFonts w:ascii="Arial" w:cs="Arial" w:eastAsia="Arial" w:hAnsi="Arial"/>
          <w:sz w:val="22"/>
          <w:szCs w:val="22"/>
          <w:color w:val="010000"/>
        </w:rPr>
      </w:pPr>
      <w:r>
        <w:rPr>
          <w:rFonts w:ascii="Arial" w:cs="Arial" w:eastAsia="Arial" w:hAnsi="Arial"/>
          <w:sz w:val="22"/>
          <w:szCs w:val="22"/>
          <w:color w:val="auto"/>
        </w:rPr>
        <w:t>Notwithstanding any provision of this Award Agreement to the contrary, in light of the uncertainty with respect to the proper application of Section 409A, the Company reserves the right to make amendments to this Award Agreement as the Company deems necessary or desirable to avoid the imposition of taxes or penalties under Section 409A. In any case, you shall be solely responsible and liable for the satisfaction of all taxes and penalties that may be imposed on you or for your account in connection with this Award Agreement (including any taxes and penalties under Section 409A), and neither the Company nor any of its Affiliates shall have any obligation to indemnify or otherwise hold you harmless from any or all of such taxes or penalties.</w:t>
      </w:r>
    </w:p>
    <w:p>
      <w:pPr>
        <w:spacing w:after="0" w:line="168" w:lineRule="exact"/>
        <w:rPr>
          <w:sz w:val="20"/>
          <w:szCs w:val="20"/>
          <w:color w:val="auto"/>
        </w:rPr>
      </w:pPr>
    </w:p>
    <w:p>
      <w:pPr>
        <w:ind w:right="40" w:firstLine="1296"/>
        <w:spacing w:after="0" w:line="218" w:lineRule="auto"/>
        <w:rPr>
          <w:sz w:val="20"/>
          <w:szCs w:val="20"/>
          <w:color w:val="auto"/>
        </w:rPr>
      </w:pPr>
      <w:r>
        <w:rPr>
          <w:rFonts w:ascii="Arial" w:cs="Arial" w:eastAsia="Arial" w:hAnsi="Arial"/>
          <w:sz w:val="22"/>
          <w:szCs w:val="22"/>
          <w:color w:val="010000"/>
        </w:rPr>
        <w:t xml:space="preserve">SECTION 16. </w:t>
      </w:r>
      <w:r>
        <w:rPr>
          <w:rFonts w:ascii="Arial" w:cs="Arial" w:eastAsia="Arial" w:hAnsi="Arial"/>
          <w:sz w:val="22"/>
          <w:szCs w:val="22"/>
          <w:u w:val="single" w:color="auto"/>
          <w:color w:val="000000"/>
        </w:rPr>
        <w:t>Counterparts</w:t>
      </w:r>
      <w:r>
        <w:rPr>
          <w:rFonts w:ascii="Arial" w:cs="Arial" w:eastAsia="Arial" w:hAnsi="Arial"/>
          <w:sz w:val="22"/>
          <w:szCs w:val="22"/>
          <w:color w:val="000000"/>
        </w:rPr>
        <w:t>. This Award Agreement may be signed in counterparts, each of which</w:t>
      </w:r>
      <w:r>
        <w:rPr>
          <w:rFonts w:ascii="Arial" w:cs="Arial" w:eastAsia="Arial" w:hAnsi="Arial"/>
          <w:sz w:val="22"/>
          <w:szCs w:val="22"/>
          <w:color w:val="010000"/>
        </w:rPr>
        <w:t xml:space="preserve"> </w:t>
      </w:r>
      <w:r>
        <w:rPr>
          <w:rFonts w:ascii="Arial" w:cs="Arial" w:eastAsia="Arial" w:hAnsi="Arial"/>
          <w:sz w:val="22"/>
          <w:szCs w:val="22"/>
          <w:color w:val="000000"/>
        </w:rPr>
        <w:t>shall be an original, with the same effect as if the signatures thereto and hereto were upon the same instrument. You and the Company hereby acknowledge and agree that signatures delivered by facsimile or electronic means (including by “pdf”) shall be deemed effective for all purposes.</w:t>
      </w:r>
    </w:p>
    <w:p>
      <w:pPr>
        <w:spacing w:after="0" w:line="161" w:lineRule="exact"/>
        <w:rPr>
          <w:sz w:val="20"/>
          <w:szCs w:val="20"/>
          <w:color w:val="auto"/>
        </w:rPr>
      </w:pPr>
    </w:p>
    <w:p>
      <w:pPr>
        <w:ind w:right="260" w:firstLine="1296"/>
        <w:spacing w:after="0" w:line="268" w:lineRule="auto"/>
        <w:rPr>
          <w:sz w:val="20"/>
          <w:szCs w:val="20"/>
          <w:color w:val="auto"/>
        </w:rPr>
      </w:pPr>
      <w:r>
        <w:rPr>
          <w:rFonts w:ascii="Arial" w:cs="Arial" w:eastAsia="Arial" w:hAnsi="Arial"/>
          <w:sz w:val="19"/>
          <w:szCs w:val="19"/>
          <w:color w:val="010000"/>
        </w:rPr>
        <w:t xml:space="preserve">SECTION 17. </w:t>
      </w:r>
      <w:r>
        <w:rPr>
          <w:rFonts w:ascii="Arial" w:cs="Arial" w:eastAsia="Arial" w:hAnsi="Arial"/>
          <w:sz w:val="19"/>
          <w:szCs w:val="19"/>
          <w:u w:val="single" w:color="auto"/>
          <w:color w:val="000000"/>
        </w:rPr>
        <w:t>Section 280G</w:t>
      </w:r>
      <w:r>
        <w:rPr>
          <w:rFonts w:ascii="Arial" w:cs="Arial" w:eastAsia="Arial" w:hAnsi="Arial"/>
          <w:sz w:val="19"/>
          <w:szCs w:val="19"/>
          <w:color w:val="000000"/>
        </w:rPr>
        <w:t>. Notwithstanding anything in this Award Agreement to the contrary</w:t>
      </w:r>
      <w:r>
        <w:rPr>
          <w:rFonts w:ascii="Arial" w:cs="Arial" w:eastAsia="Arial" w:hAnsi="Arial"/>
          <w:sz w:val="19"/>
          <w:szCs w:val="19"/>
          <w:color w:val="010000"/>
        </w:rPr>
        <w:t xml:space="preserve"> </w:t>
      </w:r>
      <w:r>
        <w:rPr>
          <w:rFonts w:ascii="Arial" w:cs="Arial" w:eastAsia="Arial" w:hAnsi="Arial"/>
          <w:sz w:val="19"/>
          <w:szCs w:val="19"/>
          <w:color w:val="000000"/>
        </w:rPr>
        <w:t>and regardless of whether this Award Agreement has otherwise expired or terminated, unless otherwise provided in your Employment Agreement, in the event that any payments, distributions, benefits or entitlements of any type payable to you</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C-7</w:t>
      </w:r>
    </w:p>
    <w:p>
      <w:pPr>
        <w:sectPr>
          <w:pgSz w:w="11900" w:h="16838" w:orient="portrait"/>
          <w:cols w:equalWidth="0" w:num="1">
            <w:col w:w="11180"/>
          </w:cols>
          <w:pgMar w:left="320" w:top="604" w:right="399" w:bottom="1440" w:gutter="0" w:footer="0" w:header="0"/>
        </w:sectPr>
      </w:pPr>
    </w:p>
    <w:bookmarkStart w:id="122" w:name="page123"/>
    <w:bookmarkEnd w:id="122"/>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CIC Benefits</w:t>
      </w:r>
      <w:r>
        <w:rPr>
          <w:rFonts w:ascii="Arial" w:cs="Arial" w:eastAsia="Arial" w:hAnsi="Arial"/>
          <w:sz w:val="19"/>
          <w:szCs w:val="19"/>
          <w:color w:val="auto"/>
        </w:rPr>
        <w:t>”) (i) constitute “parachute payments” within the meaning of Section 280G of the Code, and (ii) but for this paragraph would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your CIC Benefits shall be reduced to such lesser amount (the “</w:t>
      </w:r>
      <w:r>
        <w:rPr>
          <w:rFonts w:ascii="Arial" w:cs="Arial" w:eastAsia="Arial" w:hAnsi="Arial"/>
          <w:sz w:val="19"/>
          <w:szCs w:val="19"/>
          <w:u w:val="single" w:color="auto"/>
          <w:color w:val="auto"/>
        </w:rPr>
        <w:t>Reduced Amount</w:t>
      </w:r>
      <w:r>
        <w:rPr>
          <w:rFonts w:ascii="Arial" w:cs="Arial" w:eastAsia="Arial" w:hAnsi="Arial"/>
          <w:sz w:val="19"/>
          <w:szCs w:val="19"/>
          <w:color w:val="auto"/>
        </w:rPr>
        <w:t xml:space="preserve">”) that would result in no portion of such benefits being subject to the Excise Tax;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amounts shall not be so reduced if the Company determines, based on the advice of Golden Parachute Tax Solutions LLC, or such other nationally recognized certified public accounting firm as may be designated by the Company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that without such reduction you would be entitled to receive and retain, on a net after tax basis (including, without limitation, any excise taxes payable under Section 4999 of the Code), an amount that is greater than the amount, on a net after tax basis, that you would be entitled to retain upon receipt of the Reduced Amount. Unless the Company and you otherwise agree in writing, any determination required under this Section 17 shall be made in writing in good faith by the Accounting Firm. In the event of a reduction of benefits hereunder, benefits shall be reduced by first reducing or eliminating the portion of the CIC Benefits that are payable under this Award Agreement and then by reducing or eliminating the portion of the CIC Benefits that are payable in cash and then by reducing or eliminating the non-cash portion of the CIC Benefits, in each case, in reverse order beginning with payments or benefits which are to be paid the furthest in the future. For purposes of making the calculations required by this Section 17, the Accounting Firm may make reasonable assumptions and approximations concerning applicable taxes and may rely on reasonable, good faith interpretations concerning the application of the Code, and other applicable legal authority. The Company and you shall furnish to the Accounting Firm such information and documents as the Accounting Firm may reasonably require in order to make a determination under this Section 17, and the Company shall bear the cost of all fees the Accounting Firm charges in connection with any calculations contemplated by this Section 17. In connection with making determinations under this Section 17, the Accounting Firm shall take into account the value of any reasonable compensation for services to be rendered by you before or after the Change of Control, including any non-competition provisions that may apply to you and the Company shall cooperate in the valuation of any such services, including any non-competition provisions.</w:t>
      </w:r>
    </w:p>
    <w:p>
      <w:pPr>
        <w:spacing w:after="0" w:line="380" w:lineRule="exact"/>
        <w:rPr>
          <w:sz w:val="20"/>
          <w:szCs w:val="20"/>
          <w:color w:val="auto"/>
        </w:rPr>
      </w:pPr>
    </w:p>
    <w:p>
      <w:pPr>
        <w:ind w:right="160" w:firstLine="1296"/>
        <w:spacing w:after="0" w:line="246" w:lineRule="auto"/>
        <w:rPr>
          <w:sz w:val="20"/>
          <w:szCs w:val="20"/>
          <w:color w:val="auto"/>
        </w:rPr>
      </w:pPr>
      <w:r>
        <w:rPr>
          <w:rFonts w:ascii="Arial" w:cs="Arial" w:eastAsia="Arial" w:hAnsi="Arial"/>
          <w:sz w:val="19"/>
          <w:szCs w:val="19"/>
          <w:color w:val="010000"/>
        </w:rPr>
        <w:t xml:space="preserve">SECTION 18. </w:t>
      </w:r>
      <w:r>
        <w:rPr>
          <w:rFonts w:ascii="Arial" w:cs="Arial" w:eastAsia="Arial" w:hAnsi="Arial"/>
          <w:sz w:val="19"/>
          <w:szCs w:val="19"/>
          <w:u w:val="single" w:color="auto"/>
          <w:color w:val="000000"/>
        </w:rPr>
        <w:t>Securities Trade Monitoring Policy</w:t>
      </w:r>
      <w:r>
        <w:rPr>
          <w:rFonts w:ascii="Arial" w:cs="Arial" w:eastAsia="Arial" w:hAnsi="Arial"/>
          <w:sz w:val="19"/>
          <w:szCs w:val="19"/>
          <w:color w:val="000000"/>
        </w:rPr>
        <w:t>. You are required to maintain a securities</w:t>
      </w:r>
      <w:r>
        <w:rPr>
          <w:rFonts w:ascii="Arial" w:cs="Arial" w:eastAsia="Arial" w:hAnsi="Arial"/>
          <w:sz w:val="19"/>
          <w:szCs w:val="19"/>
          <w:color w:val="010000"/>
        </w:rPr>
        <w:t xml:space="preserve"> </w:t>
      </w:r>
      <w:r>
        <w:rPr>
          <w:rFonts w:ascii="Arial" w:cs="Arial" w:eastAsia="Arial" w:hAnsi="Arial"/>
          <w:sz w:val="19"/>
          <w:szCs w:val="19"/>
          <w:color w:val="000000"/>
        </w:rPr>
        <w:t>brokerage account with the Company’s preferred broker in order to receive any Shares issuable under this Award, in accordance with the Company securities trade monitoring policy (the “</w:t>
      </w:r>
      <w:r>
        <w:rPr>
          <w:rFonts w:ascii="Arial" w:cs="Arial" w:eastAsia="Arial" w:hAnsi="Arial"/>
          <w:sz w:val="19"/>
          <w:szCs w:val="19"/>
          <w:u w:val="single" w:color="auto"/>
          <w:color w:val="000000"/>
        </w:rPr>
        <w:t>Trade Monitoring Policy</w:t>
      </w:r>
      <w:r>
        <w:rPr>
          <w:rFonts w:ascii="Arial" w:cs="Arial" w:eastAsia="Arial" w:hAnsi="Arial"/>
          <w:sz w:val="19"/>
          <w:szCs w:val="19"/>
          <w:color w:val="000000"/>
        </w:rPr>
        <w:t>” ). The Company’s preferred broker is currently Morgan Stanley. Any Shares issued to you pursuant to this Award Agreement shall be deposited in your account with the Company’s preferred broker in accordance with the terms set forth herein. You hereby acknowledge that you have reviewed, and agree to comply with, the terms of the Trade Monitoring Policy, and that this Award, and the value of any Shares issued pursuant to this Award Agreement, shall be subject to forfeiture or recoupment by the Company, as applicable, in the event of your noncompliance with the Trade Monitoring Policy, as it may be in effect from time to time.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C-8</w:t>
      </w:r>
    </w:p>
    <w:p>
      <w:pPr>
        <w:sectPr>
          <w:pgSz w:w="11900" w:h="16838" w:orient="portrait"/>
          <w:cols w:equalWidth="0" w:num="1">
            <w:col w:w="11240"/>
          </w:cols>
          <w:pgMar w:left="320" w:top="577" w:right="339" w:bottom="1440" w:gutter="0" w:footer="0" w:header="0"/>
        </w:sectPr>
      </w:pPr>
    </w:p>
    <w:bookmarkStart w:id="123" w:name="page124"/>
    <w:bookmarkEnd w:id="123"/>
    <w:p>
      <w:pPr>
        <w:spacing w:after="0"/>
        <w:rPr>
          <w:sz w:val="20"/>
          <w:szCs w:val="20"/>
          <w:color w:val="auto"/>
        </w:rPr>
      </w:pPr>
      <w:r>
        <w:rPr>
          <w:rFonts w:ascii="Arial" w:cs="Arial" w:eastAsia="Arial" w:hAnsi="Arial"/>
          <w:sz w:val="19"/>
          <w:szCs w:val="19"/>
          <w:color w:val="auto"/>
        </w:rPr>
        <w:t>IN WITNESS WHEREOF, the parties have duly executed this Award Agreement as of the date first written above.</w:t>
      </w:r>
    </w:p>
    <w:p>
      <w:pPr>
        <w:sectPr>
          <w:pgSz w:w="11900" w:h="16838" w:orient="portrait"/>
          <w:cols w:equalWidth="0" w:num="1">
            <w:col w:w="9920"/>
          </w:cols>
          <w:pgMar w:left="980" w:top="1117" w:right="9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XPO LOGISTICS, INC.</w:t>
      </w:r>
    </w:p>
    <w:p>
      <w:pPr>
        <w:spacing w:after="0" w:line="200" w:lineRule="exact"/>
        <w:rPr>
          <w:sz w:val="20"/>
          <w:szCs w:val="20"/>
          <w:color w:val="auto"/>
        </w:rPr>
      </w:pPr>
    </w:p>
    <w:p>
      <w:pPr>
        <w:spacing w:after="0" w:line="249"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212725</wp:posOffset>
            </wp:positionV>
            <wp:extent cx="20999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335"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 Meghan Henson</w:t>
      </w:r>
    </w:p>
    <w:p>
      <w:pPr>
        <w:spacing w:after="0" w:line="44"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Title: Chief Human Resources</w:t>
      </w:r>
    </w:p>
    <w:p>
      <w:pPr>
        <w:spacing w:after="0" w:line="43"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DAVID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658495</wp:posOffset>
            </wp:positionV>
            <wp:extent cx="19716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PSU Agreement]</w:t>
      </w:r>
    </w:p>
    <w:p>
      <w:pPr>
        <w:sectPr>
          <w:pgSz w:w="11900" w:h="16838" w:orient="portrait"/>
          <w:cols w:equalWidth="0" w:num="1">
            <w:col w:w="9920"/>
          </w:cols>
          <w:pgMar w:left="980" w:top="1117" w:right="999" w:bottom="1440" w:gutter="0" w:footer="0" w:header="0"/>
          <w:type w:val="continuous"/>
        </w:sectPr>
      </w:pPr>
    </w:p>
    <w:bookmarkStart w:id="124" w:name="page125"/>
    <w:bookmarkEnd w:id="124"/>
    <w:tbl>
      <w:tblPr>
        <w:tblLayout w:type="fixed"/>
        <w:tblInd w:w="10" w:type="dxa"/>
        <w:tblCellMar>
          <w:top w:w="0" w:type="dxa"/>
          <w:left w:w="0" w:type="dxa"/>
          <w:bottom w:w="0" w:type="dxa"/>
          <w:right w:w="0" w:type="dxa"/>
        </w:tblCellMar>
      </w:tblPr>
      <w:tr>
        <w:trPr>
          <w:trHeight w:val="253"/>
        </w:trPr>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120" w:type="dxa"/>
            <w:vAlign w:val="bottom"/>
            <w:gridSpan w:val="6"/>
          </w:tcPr>
          <w:p>
            <w:pPr>
              <w:ind w:left="1060"/>
              <w:spacing w:after="0"/>
              <w:rPr>
                <w:sz w:val="20"/>
                <w:szCs w:val="20"/>
                <w:color w:val="auto"/>
              </w:rPr>
            </w:pPr>
            <w:r>
              <w:rPr>
                <w:rFonts w:ascii="Arial" w:cs="Arial" w:eastAsia="Arial" w:hAnsi="Arial"/>
                <w:sz w:val="22"/>
                <w:szCs w:val="22"/>
                <w:color w:val="auto"/>
              </w:rPr>
              <w:t>Exhibit A</w:t>
            </w:r>
          </w:p>
        </w:tc>
      </w:tr>
      <w:tr>
        <w:trPr>
          <w:trHeight w:val="588"/>
        </w:trPr>
        <w:tc>
          <w:tcPr>
            <w:tcW w:w="2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42"/>
        </w:trPr>
        <w:tc>
          <w:tcPr>
            <w:tcW w:w="2620" w:type="dxa"/>
            <w:vAlign w:val="bottom"/>
            <w:tcBorders>
              <w:left w:val="single" w:sz="8" w:color="auto"/>
              <w:right w:val="single" w:sz="8" w:color="auto"/>
            </w:tcBorders>
          </w:tcPr>
          <w:p>
            <w:pPr>
              <w:ind w:left="40"/>
              <w:spacing w:after="0" w:line="242" w:lineRule="exact"/>
              <w:rPr>
                <w:sz w:val="20"/>
                <w:szCs w:val="20"/>
                <w:color w:val="auto"/>
              </w:rPr>
            </w:pPr>
            <w:r>
              <w:rPr>
                <w:rFonts w:ascii="Arial" w:cs="Arial" w:eastAsia="Arial" w:hAnsi="Arial"/>
                <w:sz w:val="22"/>
                <w:szCs w:val="22"/>
                <w:color w:val="auto"/>
              </w:rPr>
              <w:t>Number of RSUs Granted</w:t>
            </w:r>
          </w:p>
        </w:tc>
        <w:tc>
          <w:tcPr>
            <w:tcW w:w="8640" w:type="dxa"/>
            <w:vAlign w:val="bottom"/>
            <w:tcBorders>
              <w:right w:val="single" w:sz="8" w:color="auto"/>
            </w:tcBorders>
            <w:gridSpan w:val="13"/>
          </w:tcPr>
          <w:p>
            <w:pPr>
              <w:ind w:left="20"/>
              <w:spacing w:after="0" w:line="242" w:lineRule="exact"/>
              <w:rPr>
                <w:sz w:val="20"/>
                <w:szCs w:val="20"/>
                <w:color w:val="auto"/>
              </w:rPr>
            </w:pPr>
            <w:r>
              <w:rPr>
                <w:rFonts w:ascii="Arial" w:cs="Arial" w:eastAsia="Arial" w:hAnsi="Arial"/>
                <w:sz w:val="22"/>
                <w:szCs w:val="22"/>
                <w:color w:val="auto"/>
              </w:rPr>
              <w:t>[●] RSUs</w:t>
            </w:r>
            <w:r>
              <w:rPr>
                <w:rFonts w:ascii="Arial" w:cs="Arial" w:eastAsia="Arial" w:hAnsi="Arial"/>
                <w:sz w:val="28"/>
                <w:szCs w:val="28"/>
                <w:color w:val="auto"/>
                <w:vertAlign w:val="superscript"/>
              </w:rPr>
              <w:t>2</w:t>
            </w:r>
          </w:p>
        </w:tc>
      </w:tr>
      <w:tr>
        <w:trPr>
          <w:trHeight w:val="285"/>
        </w:trPr>
        <w:tc>
          <w:tcPr>
            <w:tcW w:w="2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Hereunder:</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r>
      <w:tr>
        <w:trPr>
          <w:trHeight w:val="280"/>
        </w:trPr>
        <w:tc>
          <w:tcPr>
            <w:tcW w:w="2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Performance Goal:</w:t>
            </w:r>
          </w:p>
        </w:tc>
        <w:tc>
          <w:tcPr>
            <w:tcW w:w="8640" w:type="dxa"/>
            <w:vAlign w:val="bottom"/>
            <w:tcBorders>
              <w:right w:val="single" w:sz="8" w:color="auto"/>
            </w:tcBorders>
            <w:gridSpan w:val="13"/>
          </w:tcPr>
          <w:p>
            <w:pPr>
              <w:ind w:left="20"/>
              <w:spacing w:after="0"/>
              <w:rPr>
                <w:sz w:val="20"/>
                <w:szCs w:val="20"/>
                <w:color w:val="auto"/>
              </w:rPr>
            </w:pPr>
            <w:r>
              <w:rPr>
                <w:rFonts w:ascii="Arial" w:cs="Arial" w:eastAsia="Arial" w:hAnsi="Arial"/>
                <w:sz w:val="22"/>
                <w:szCs w:val="22"/>
                <w:color w:val="auto"/>
              </w:rPr>
              <w:t>The Performance Goal shall be achievement of both of the following:</w:t>
            </w:r>
          </w:p>
        </w:tc>
      </w:tr>
      <w:tr>
        <w:trPr>
          <w:trHeight w:val="455"/>
        </w:trPr>
        <w:tc>
          <w:tcPr>
            <w:tcW w:w="262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gridSpan w:val="13"/>
          </w:tcPr>
          <w:p>
            <w:pPr>
              <w:ind w:left="20"/>
              <w:spacing w:after="0"/>
              <w:rPr>
                <w:sz w:val="20"/>
                <w:szCs w:val="20"/>
                <w:color w:val="auto"/>
              </w:rPr>
            </w:pPr>
            <w:r>
              <w:rPr>
                <w:rFonts w:ascii="Arial" w:cs="Arial" w:eastAsia="Arial" w:hAnsi="Arial"/>
                <w:sz w:val="22"/>
                <w:szCs w:val="22"/>
                <w:color w:val="auto"/>
                <w:w w:val="93"/>
              </w:rPr>
              <w:t>(a) Company TSR during the Performance Period exceeds Comparator Group TSR during the</w:t>
            </w:r>
          </w:p>
        </w:tc>
      </w:tr>
      <w:tr>
        <w:trPr>
          <w:trHeight w:val="243"/>
        </w:trPr>
        <w:tc>
          <w:tcPr>
            <w:tcW w:w="262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gridSpan w:val="13"/>
          </w:tcPr>
          <w:p>
            <w:pPr>
              <w:ind w:left="20"/>
              <w:spacing w:after="0" w:line="243" w:lineRule="exact"/>
              <w:rPr>
                <w:sz w:val="20"/>
                <w:szCs w:val="20"/>
                <w:color w:val="auto"/>
              </w:rPr>
            </w:pPr>
            <w:r>
              <w:rPr>
                <w:rFonts w:ascii="Arial" w:cs="Arial" w:eastAsia="Arial" w:hAnsi="Arial"/>
                <w:sz w:val="22"/>
                <w:szCs w:val="22"/>
                <w:color w:val="auto"/>
                <w:w w:val="90"/>
              </w:rPr>
              <w:t>Performance Period by a minimum of 34 percentage points (representing outperformance of more</w:t>
            </w:r>
          </w:p>
        </w:tc>
      </w:tr>
      <w:tr>
        <w:trPr>
          <w:trHeight w:val="224"/>
        </w:trPr>
        <w:tc>
          <w:tcPr>
            <w:tcW w:w="262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gridSpan w:val="13"/>
          </w:tcPr>
          <w:p>
            <w:pPr>
              <w:ind w:left="20"/>
              <w:spacing w:after="0" w:line="224" w:lineRule="exact"/>
              <w:rPr>
                <w:sz w:val="20"/>
                <w:szCs w:val="20"/>
                <w:color w:val="auto"/>
              </w:rPr>
            </w:pPr>
            <w:r>
              <w:rPr>
                <w:rFonts w:ascii="Arial" w:cs="Arial" w:eastAsia="Arial" w:hAnsi="Arial"/>
                <w:sz w:val="22"/>
                <w:szCs w:val="22"/>
                <w:color w:val="auto"/>
                <w:w w:val="89"/>
              </w:rPr>
              <w:t>than 5 percentage points on an annualized compounded basis) (the “TSR Performance Goal”); and</w:t>
            </w:r>
          </w:p>
        </w:tc>
      </w:tr>
      <w:tr>
        <w:trPr>
          <w:trHeight w:val="20"/>
        </w:trPr>
        <w:tc>
          <w:tcPr>
            <w:tcW w:w="262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r>
      <w:tr>
        <w:trPr>
          <w:trHeight w:val="485"/>
        </w:trPr>
        <w:tc>
          <w:tcPr>
            <w:tcW w:w="262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gridSpan w:val="13"/>
          </w:tcPr>
          <w:p>
            <w:pPr>
              <w:ind w:left="20"/>
              <w:spacing w:after="0"/>
              <w:rPr>
                <w:sz w:val="20"/>
                <w:szCs w:val="20"/>
                <w:color w:val="auto"/>
              </w:rPr>
            </w:pPr>
            <w:r>
              <w:rPr>
                <w:rFonts w:ascii="Arial" w:cs="Arial" w:eastAsia="Arial" w:hAnsi="Arial"/>
                <w:sz w:val="22"/>
                <w:szCs w:val="22"/>
                <w:color w:val="auto"/>
                <w:w w:val="93"/>
              </w:rPr>
              <w:t>(b) the compound annual growth rate of the Company’s Adjusted EPS during the Performance</w:t>
            </w:r>
          </w:p>
        </w:tc>
      </w:tr>
      <w:tr>
        <w:trPr>
          <w:trHeight w:val="243"/>
        </w:trPr>
        <w:tc>
          <w:tcPr>
            <w:tcW w:w="262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gridSpan w:val="13"/>
          </w:tcPr>
          <w:p>
            <w:pPr>
              <w:ind w:left="20"/>
              <w:spacing w:after="0" w:line="243" w:lineRule="exact"/>
              <w:rPr>
                <w:sz w:val="20"/>
                <w:szCs w:val="20"/>
                <w:color w:val="auto"/>
              </w:rPr>
            </w:pPr>
            <w:r>
              <w:rPr>
                <w:rFonts w:ascii="Arial" w:cs="Arial" w:eastAsia="Arial" w:hAnsi="Arial"/>
                <w:sz w:val="22"/>
                <w:szCs w:val="22"/>
                <w:color w:val="auto"/>
                <w:w w:val="90"/>
              </w:rPr>
              <w:t>Period, measured by reference to the Company’s full year 2018 Adjusted EPS of $3.19, is at least</w:t>
            </w:r>
          </w:p>
        </w:tc>
      </w:tr>
      <w:tr>
        <w:trPr>
          <w:trHeight w:val="224"/>
        </w:trPr>
        <w:tc>
          <w:tcPr>
            <w:tcW w:w="262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gridSpan w:val="13"/>
          </w:tcPr>
          <w:p>
            <w:pPr>
              <w:ind w:left="20"/>
              <w:spacing w:after="0" w:line="224" w:lineRule="exact"/>
              <w:rPr>
                <w:sz w:val="20"/>
                <w:szCs w:val="20"/>
                <w:color w:val="auto"/>
              </w:rPr>
            </w:pPr>
            <w:r>
              <w:rPr>
                <w:rFonts w:ascii="Arial" w:cs="Arial" w:eastAsia="Arial" w:hAnsi="Arial"/>
                <w:sz w:val="22"/>
                <w:szCs w:val="22"/>
                <w:color w:val="auto"/>
              </w:rPr>
              <w:t>19% (the “Adjusted EPS Performance Goal”).</w:t>
            </w:r>
          </w:p>
        </w:tc>
      </w:tr>
      <w:tr>
        <w:trPr>
          <w:trHeight w:val="20"/>
        </w:trPr>
        <w:tc>
          <w:tcPr>
            <w:tcW w:w="262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80" w:type="dxa"/>
            <w:vAlign w:val="bottom"/>
            <w:gridSpan w:val="3"/>
            <w:shd w:val="clear" w:color="auto" w:fill="000000"/>
          </w:tcPr>
          <w:p>
            <w:pPr>
              <w:spacing w:after="0" w:line="20" w:lineRule="exact"/>
              <w:rPr>
                <w:sz w:val="1"/>
                <w:szCs w:val="1"/>
                <w:color w:val="auto"/>
              </w:rPr>
            </w:pPr>
          </w:p>
        </w:tc>
        <w:tc>
          <w:tcPr>
            <w:tcW w:w="4840" w:type="dxa"/>
            <w:vAlign w:val="bottom"/>
            <w:tcBorders>
              <w:right w:val="single" w:sz="8" w:color="auto"/>
            </w:tcBorders>
            <w:gridSpan w:val="3"/>
          </w:tcPr>
          <w:p>
            <w:pPr>
              <w:spacing w:after="0" w:line="20" w:lineRule="exact"/>
              <w:rPr>
                <w:sz w:val="1"/>
                <w:szCs w:val="1"/>
                <w:color w:val="auto"/>
              </w:rPr>
            </w:pPr>
          </w:p>
        </w:tc>
      </w:tr>
      <w:tr>
        <w:trPr>
          <w:trHeight w:val="466"/>
        </w:trPr>
        <w:tc>
          <w:tcPr>
            <w:tcW w:w="262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gridSpan w:val="13"/>
          </w:tcPr>
          <w:p>
            <w:pPr>
              <w:ind w:left="20"/>
              <w:spacing w:after="0"/>
              <w:rPr>
                <w:sz w:val="20"/>
                <w:szCs w:val="20"/>
                <w:color w:val="auto"/>
              </w:rPr>
            </w:pPr>
            <w:r>
              <w:rPr>
                <w:rFonts w:ascii="Arial" w:cs="Arial" w:eastAsia="Arial" w:hAnsi="Arial"/>
                <w:sz w:val="22"/>
                <w:szCs w:val="22"/>
                <w:color w:val="auto"/>
                <w:w w:val="90"/>
              </w:rPr>
              <w:t>“Adjusted EPS” means the Company’s net income attributable to common shareholders, adjusted</w:t>
            </w:r>
          </w:p>
        </w:tc>
      </w:tr>
      <w:tr>
        <w:trPr>
          <w:trHeight w:val="20"/>
        </w:trPr>
        <w:tc>
          <w:tcPr>
            <w:tcW w:w="262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120" w:type="dxa"/>
            <w:vAlign w:val="bottom"/>
            <w:tcBorders>
              <w:right w:val="single" w:sz="8" w:color="auto"/>
            </w:tcBorders>
            <w:gridSpan w:val="6"/>
          </w:tcPr>
          <w:p>
            <w:pPr>
              <w:spacing w:after="0" w:line="20" w:lineRule="exact"/>
              <w:rPr>
                <w:sz w:val="1"/>
                <w:szCs w:val="1"/>
                <w:color w:val="auto"/>
              </w:rPr>
            </w:pPr>
          </w:p>
        </w:tc>
      </w:tr>
      <w:tr>
        <w:trPr>
          <w:trHeight w:val="242"/>
        </w:trPr>
        <w:tc>
          <w:tcPr>
            <w:tcW w:w="262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gridSpan w:val="13"/>
          </w:tcPr>
          <w:p>
            <w:pPr>
              <w:ind w:left="20"/>
              <w:spacing w:after="0" w:line="242" w:lineRule="exact"/>
              <w:rPr>
                <w:sz w:val="20"/>
                <w:szCs w:val="20"/>
                <w:color w:val="auto"/>
              </w:rPr>
            </w:pPr>
            <w:r>
              <w:rPr>
                <w:rFonts w:ascii="Arial" w:cs="Arial" w:eastAsia="Arial" w:hAnsi="Arial"/>
                <w:sz w:val="22"/>
                <w:szCs w:val="22"/>
                <w:color w:val="auto"/>
                <w:w w:val="89"/>
              </w:rPr>
              <w:t>for the impact of certain costs and gains that management has determined are not reflective of the</w:t>
            </w:r>
          </w:p>
        </w:tc>
      </w:tr>
      <w:tr>
        <w:trPr>
          <w:trHeight w:val="243"/>
        </w:trPr>
        <w:tc>
          <w:tcPr>
            <w:tcW w:w="262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gridSpan w:val="13"/>
          </w:tcPr>
          <w:p>
            <w:pPr>
              <w:ind w:left="20"/>
              <w:spacing w:after="0" w:line="243" w:lineRule="exact"/>
              <w:rPr>
                <w:sz w:val="20"/>
                <w:szCs w:val="20"/>
                <w:color w:val="auto"/>
              </w:rPr>
            </w:pPr>
            <w:r>
              <w:rPr>
                <w:rFonts w:ascii="Arial" w:cs="Arial" w:eastAsia="Arial" w:hAnsi="Arial"/>
                <w:sz w:val="22"/>
                <w:szCs w:val="22"/>
                <w:color w:val="auto"/>
              </w:rPr>
              <w:t>Company’s core operating activities, governed by the Company’s internal policy entitled</w:t>
            </w:r>
          </w:p>
        </w:tc>
      </w:tr>
      <w:tr>
        <w:trPr>
          <w:trHeight w:val="243"/>
        </w:trPr>
        <w:tc>
          <w:tcPr>
            <w:tcW w:w="262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gridSpan w:val="13"/>
          </w:tcPr>
          <w:p>
            <w:pPr>
              <w:ind w:left="20"/>
              <w:spacing w:after="0" w:line="243" w:lineRule="exact"/>
              <w:rPr>
                <w:sz w:val="20"/>
                <w:szCs w:val="20"/>
                <w:color w:val="auto"/>
              </w:rPr>
            </w:pPr>
            <w:r>
              <w:rPr>
                <w:rFonts w:ascii="Arial" w:cs="Arial" w:eastAsia="Arial" w:hAnsi="Arial"/>
                <w:sz w:val="22"/>
                <w:szCs w:val="22"/>
                <w:color w:val="auto"/>
                <w:w w:val="92"/>
              </w:rPr>
              <w:t>“Presentation and Disclosure of Non-GAAP Financial Measures” as in effect on the Grant Date,</w:t>
            </w:r>
          </w:p>
        </w:tc>
      </w:tr>
      <w:tr>
        <w:trPr>
          <w:trHeight w:val="274"/>
        </w:trPr>
        <w:tc>
          <w:tcPr>
            <w:tcW w:w="2620" w:type="dxa"/>
            <w:vAlign w:val="bottom"/>
            <w:tcBorders>
              <w:left w:val="single" w:sz="8" w:color="auto"/>
              <w:right w:val="single" w:sz="8" w:color="auto"/>
            </w:tcBorders>
          </w:tcPr>
          <w:p>
            <w:pPr>
              <w:spacing w:after="0"/>
              <w:rPr>
                <w:sz w:val="23"/>
                <w:szCs w:val="23"/>
                <w:color w:val="auto"/>
              </w:rPr>
            </w:pPr>
          </w:p>
        </w:tc>
        <w:tc>
          <w:tcPr>
            <w:tcW w:w="8640" w:type="dxa"/>
            <w:vAlign w:val="bottom"/>
            <w:tcBorders>
              <w:right w:val="single" w:sz="8" w:color="auto"/>
            </w:tcBorders>
            <w:gridSpan w:val="13"/>
          </w:tcPr>
          <w:p>
            <w:pPr>
              <w:ind w:left="20"/>
              <w:spacing w:after="0"/>
              <w:rPr>
                <w:sz w:val="20"/>
                <w:szCs w:val="20"/>
                <w:color w:val="auto"/>
              </w:rPr>
            </w:pPr>
            <w:r>
              <w:rPr>
                <w:rFonts w:ascii="Arial" w:cs="Arial" w:eastAsia="Arial" w:hAnsi="Arial"/>
                <w:sz w:val="22"/>
                <w:szCs w:val="22"/>
                <w:color w:val="auto"/>
              </w:rPr>
              <w:t>and reported externally in the Company’s earnings press releases.</w:t>
            </w:r>
          </w:p>
        </w:tc>
      </w:tr>
      <w:tr>
        <w:trPr>
          <w:trHeight w:val="435"/>
        </w:trPr>
        <w:tc>
          <w:tcPr>
            <w:tcW w:w="262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gridSpan w:val="13"/>
          </w:tcPr>
          <w:p>
            <w:pPr>
              <w:ind w:left="20"/>
              <w:spacing w:after="0"/>
              <w:rPr>
                <w:sz w:val="20"/>
                <w:szCs w:val="20"/>
                <w:color w:val="auto"/>
              </w:rPr>
            </w:pPr>
            <w:r>
              <w:rPr>
                <w:rFonts w:ascii="Arial" w:cs="Arial" w:eastAsia="Arial" w:hAnsi="Arial"/>
                <w:sz w:val="22"/>
                <w:szCs w:val="22"/>
                <w:color w:val="auto"/>
                <w:w w:val="91"/>
              </w:rPr>
              <w:t>“Beginning Price” shall mean the average of the closing prices of the Index or of common shares</w:t>
            </w:r>
          </w:p>
        </w:tc>
      </w:tr>
      <w:tr>
        <w:trPr>
          <w:trHeight w:val="20"/>
        </w:trPr>
        <w:tc>
          <w:tcPr>
            <w:tcW w:w="262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120" w:type="dxa"/>
            <w:vAlign w:val="bottom"/>
            <w:tcBorders>
              <w:right w:val="single" w:sz="8" w:color="auto"/>
            </w:tcBorders>
            <w:gridSpan w:val="6"/>
          </w:tcPr>
          <w:p>
            <w:pPr>
              <w:spacing w:after="0" w:line="20" w:lineRule="exact"/>
              <w:rPr>
                <w:sz w:val="1"/>
                <w:szCs w:val="1"/>
                <w:color w:val="auto"/>
              </w:rPr>
            </w:pPr>
          </w:p>
        </w:tc>
      </w:tr>
      <w:tr>
        <w:trPr>
          <w:trHeight w:val="242"/>
        </w:trPr>
        <w:tc>
          <w:tcPr>
            <w:tcW w:w="262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gridSpan w:val="13"/>
          </w:tcPr>
          <w:p>
            <w:pPr>
              <w:ind w:left="20"/>
              <w:spacing w:after="0" w:line="242" w:lineRule="exact"/>
              <w:rPr>
                <w:sz w:val="20"/>
                <w:szCs w:val="20"/>
                <w:color w:val="auto"/>
              </w:rPr>
            </w:pPr>
            <w:r>
              <w:rPr>
                <w:rFonts w:ascii="Arial" w:cs="Arial" w:eastAsia="Arial" w:hAnsi="Arial"/>
                <w:sz w:val="22"/>
                <w:szCs w:val="22"/>
                <w:color w:val="auto"/>
                <w:w w:val="90"/>
              </w:rPr>
              <w:t>of the Company, as applicable, during the twenty (20) consecutive trading days ending on the last</w:t>
            </w:r>
          </w:p>
        </w:tc>
      </w:tr>
      <w:tr>
        <w:trPr>
          <w:trHeight w:val="274"/>
        </w:trPr>
        <w:tc>
          <w:tcPr>
            <w:tcW w:w="2620" w:type="dxa"/>
            <w:vAlign w:val="bottom"/>
            <w:tcBorders>
              <w:left w:val="single" w:sz="8" w:color="auto"/>
              <w:right w:val="single" w:sz="8" w:color="auto"/>
            </w:tcBorders>
          </w:tcPr>
          <w:p>
            <w:pPr>
              <w:spacing w:after="0"/>
              <w:rPr>
                <w:sz w:val="23"/>
                <w:szCs w:val="23"/>
                <w:color w:val="auto"/>
              </w:rPr>
            </w:pPr>
          </w:p>
        </w:tc>
        <w:tc>
          <w:tcPr>
            <w:tcW w:w="8640" w:type="dxa"/>
            <w:vAlign w:val="bottom"/>
            <w:tcBorders>
              <w:right w:val="single" w:sz="8" w:color="auto"/>
            </w:tcBorders>
            <w:gridSpan w:val="13"/>
          </w:tcPr>
          <w:p>
            <w:pPr>
              <w:ind w:left="20"/>
              <w:spacing w:after="0"/>
              <w:rPr>
                <w:sz w:val="20"/>
                <w:szCs w:val="20"/>
                <w:color w:val="auto"/>
              </w:rPr>
            </w:pPr>
            <w:r>
              <w:rPr>
                <w:rFonts w:ascii="Arial" w:cs="Arial" w:eastAsia="Arial" w:hAnsi="Arial"/>
                <w:sz w:val="22"/>
                <w:szCs w:val="22"/>
                <w:color w:val="auto"/>
              </w:rPr>
              <w:t>trading day immediately preceding the first day of the Performance Period.</w:t>
            </w:r>
          </w:p>
        </w:tc>
      </w:tr>
      <w:tr>
        <w:trPr>
          <w:trHeight w:val="435"/>
        </w:trPr>
        <w:tc>
          <w:tcPr>
            <w:tcW w:w="262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gridSpan w:val="13"/>
          </w:tcPr>
          <w:p>
            <w:pPr>
              <w:ind w:left="20"/>
              <w:spacing w:after="0"/>
              <w:rPr>
                <w:sz w:val="20"/>
                <w:szCs w:val="20"/>
                <w:color w:val="auto"/>
              </w:rPr>
            </w:pPr>
            <w:r>
              <w:rPr>
                <w:rFonts w:ascii="Arial" w:cs="Arial" w:eastAsia="Arial" w:hAnsi="Arial"/>
                <w:sz w:val="22"/>
                <w:szCs w:val="22"/>
                <w:color w:val="auto"/>
              </w:rPr>
              <w:t>“Index” means the S&amp;P Transportation Select Industry Index.</w:t>
            </w:r>
          </w:p>
        </w:tc>
      </w:tr>
      <w:tr>
        <w:trPr>
          <w:trHeight w:val="20"/>
        </w:trPr>
        <w:tc>
          <w:tcPr>
            <w:tcW w:w="262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0" w:type="dxa"/>
            <w:vAlign w:val="bottom"/>
            <w:tcBorders>
              <w:right w:val="single" w:sz="8" w:color="auto"/>
            </w:tcBorders>
            <w:gridSpan w:val="7"/>
          </w:tcPr>
          <w:p>
            <w:pPr>
              <w:spacing w:after="0" w:line="20" w:lineRule="exact"/>
              <w:rPr>
                <w:sz w:val="1"/>
                <w:szCs w:val="1"/>
                <w:color w:val="auto"/>
              </w:rPr>
            </w:pPr>
          </w:p>
        </w:tc>
      </w:tr>
      <w:tr>
        <w:trPr>
          <w:trHeight w:val="466"/>
        </w:trPr>
        <w:tc>
          <w:tcPr>
            <w:tcW w:w="262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gridSpan w:val="13"/>
          </w:tcPr>
          <w:p>
            <w:pPr>
              <w:ind w:left="20"/>
              <w:spacing w:after="0"/>
              <w:rPr>
                <w:sz w:val="20"/>
                <w:szCs w:val="20"/>
                <w:color w:val="auto"/>
              </w:rPr>
            </w:pPr>
            <w:r>
              <w:rPr>
                <w:rFonts w:ascii="Arial" w:cs="Arial" w:eastAsia="Arial" w:hAnsi="Arial"/>
                <w:sz w:val="22"/>
                <w:szCs w:val="22"/>
                <w:color w:val="auto"/>
                <w:w w:val="90"/>
              </w:rPr>
              <w:t>“Dividends Paid” shall mean all cash dividends paid by the applicable company with respect to an</w:t>
            </w:r>
          </w:p>
        </w:tc>
      </w:tr>
      <w:tr>
        <w:trPr>
          <w:trHeight w:val="20"/>
        </w:trPr>
        <w:tc>
          <w:tcPr>
            <w:tcW w:w="262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200" w:type="dxa"/>
            <w:vAlign w:val="bottom"/>
            <w:tcBorders>
              <w:right w:val="single" w:sz="8" w:color="auto"/>
            </w:tcBorders>
            <w:gridSpan w:val="7"/>
          </w:tcPr>
          <w:p>
            <w:pPr>
              <w:spacing w:after="0" w:line="20" w:lineRule="exact"/>
              <w:rPr>
                <w:sz w:val="1"/>
                <w:szCs w:val="1"/>
                <w:color w:val="auto"/>
              </w:rPr>
            </w:pPr>
          </w:p>
        </w:tc>
      </w:tr>
      <w:tr>
        <w:trPr>
          <w:trHeight w:val="242"/>
        </w:trPr>
        <w:tc>
          <w:tcPr>
            <w:tcW w:w="262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gridSpan w:val="13"/>
          </w:tcPr>
          <w:p>
            <w:pPr>
              <w:ind w:left="20"/>
              <w:spacing w:after="0" w:line="242" w:lineRule="exact"/>
              <w:rPr>
                <w:sz w:val="20"/>
                <w:szCs w:val="20"/>
                <w:color w:val="auto"/>
              </w:rPr>
            </w:pPr>
            <w:r>
              <w:rPr>
                <w:rFonts w:ascii="Arial" w:cs="Arial" w:eastAsia="Arial" w:hAnsi="Arial"/>
                <w:sz w:val="22"/>
                <w:szCs w:val="22"/>
                <w:color w:val="auto"/>
                <w:w w:val="90"/>
              </w:rPr>
              <w:t>ex-dividend date that occurs during the Performance Period (whether or not the dividend payment</w:t>
            </w:r>
          </w:p>
        </w:tc>
      </w:tr>
      <w:tr>
        <w:trPr>
          <w:trHeight w:val="243"/>
        </w:trPr>
        <w:tc>
          <w:tcPr>
            <w:tcW w:w="262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gridSpan w:val="13"/>
          </w:tcPr>
          <w:p>
            <w:pPr>
              <w:ind w:left="20"/>
              <w:spacing w:after="0" w:line="243" w:lineRule="exact"/>
              <w:rPr>
                <w:sz w:val="20"/>
                <w:szCs w:val="20"/>
                <w:color w:val="auto"/>
              </w:rPr>
            </w:pPr>
            <w:r>
              <w:rPr>
                <w:rFonts w:ascii="Arial" w:cs="Arial" w:eastAsia="Arial" w:hAnsi="Arial"/>
                <w:sz w:val="22"/>
                <w:szCs w:val="22"/>
                <w:color w:val="auto"/>
                <w:w w:val="89"/>
              </w:rPr>
              <w:t>date occurs during the Performance Period), which shall be deemed to have been reinvested in the</w:t>
            </w:r>
          </w:p>
        </w:tc>
      </w:tr>
      <w:tr>
        <w:trPr>
          <w:trHeight w:val="243"/>
        </w:trPr>
        <w:tc>
          <w:tcPr>
            <w:tcW w:w="262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gridSpan w:val="13"/>
          </w:tcPr>
          <w:p>
            <w:pPr>
              <w:ind w:left="20"/>
              <w:spacing w:after="0" w:line="243" w:lineRule="exact"/>
              <w:rPr>
                <w:sz w:val="20"/>
                <w:szCs w:val="20"/>
                <w:color w:val="auto"/>
              </w:rPr>
            </w:pPr>
            <w:r>
              <w:rPr>
                <w:rFonts w:ascii="Arial" w:cs="Arial" w:eastAsia="Arial" w:hAnsi="Arial"/>
                <w:sz w:val="22"/>
                <w:szCs w:val="22"/>
                <w:color w:val="auto"/>
                <w:w w:val="91"/>
              </w:rPr>
              <w:t>underlying common shares and shall include cash dividends paid with respect to such reinvested</w:t>
            </w:r>
          </w:p>
        </w:tc>
      </w:tr>
      <w:tr>
        <w:trPr>
          <w:trHeight w:val="243"/>
        </w:trPr>
        <w:tc>
          <w:tcPr>
            <w:tcW w:w="262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gridSpan w:val="13"/>
          </w:tcPr>
          <w:p>
            <w:pPr>
              <w:ind w:left="20"/>
              <w:spacing w:after="0" w:line="243" w:lineRule="exact"/>
              <w:rPr>
                <w:sz w:val="20"/>
                <w:szCs w:val="20"/>
                <w:color w:val="auto"/>
              </w:rPr>
            </w:pPr>
            <w:r>
              <w:rPr>
                <w:rFonts w:ascii="Arial" w:cs="Arial" w:eastAsia="Arial" w:hAnsi="Arial"/>
                <w:sz w:val="22"/>
                <w:szCs w:val="22"/>
                <w:color w:val="auto"/>
                <w:w w:val="95"/>
              </w:rPr>
              <w:t>dividends. As applied to the Index, Dividends Paid shall relate to dividends of the constituent</w:t>
            </w:r>
          </w:p>
        </w:tc>
      </w:tr>
      <w:tr>
        <w:trPr>
          <w:trHeight w:val="274"/>
        </w:trPr>
        <w:tc>
          <w:tcPr>
            <w:tcW w:w="2620" w:type="dxa"/>
            <w:vAlign w:val="bottom"/>
            <w:tcBorders>
              <w:left w:val="single" w:sz="8" w:color="auto"/>
              <w:right w:val="single" w:sz="8" w:color="auto"/>
            </w:tcBorders>
          </w:tcPr>
          <w:p>
            <w:pPr>
              <w:spacing w:after="0"/>
              <w:rPr>
                <w:sz w:val="23"/>
                <w:szCs w:val="23"/>
                <w:color w:val="auto"/>
              </w:rPr>
            </w:pPr>
          </w:p>
        </w:tc>
        <w:tc>
          <w:tcPr>
            <w:tcW w:w="8640" w:type="dxa"/>
            <w:vAlign w:val="bottom"/>
            <w:tcBorders>
              <w:right w:val="single" w:sz="8" w:color="auto"/>
            </w:tcBorders>
            <w:gridSpan w:val="13"/>
          </w:tcPr>
          <w:p>
            <w:pPr>
              <w:ind w:left="20"/>
              <w:spacing w:after="0"/>
              <w:rPr>
                <w:sz w:val="20"/>
                <w:szCs w:val="20"/>
                <w:color w:val="auto"/>
              </w:rPr>
            </w:pPr>
            <w:r>
              <w:rPr>
                <w:rFonts w:ascii="Arial" w:cs="Arial" w:eastAsia="Arial" w:hAnsi="Arial"/>
                <w:sz w:val="22"/>
                <w:szCs w:val="22"/>
                <w:color w:val="auto"/>
              </w:rPr>
              <w:t>companies and shall assume that they are reinvested in the Index.</w:t>
            </w:r>
          </w:p>
        </w:tc>
      </w:tr>
      <w:tr>
        <w:trPr>
          <w:trHeight w:val="435"/>
        </w:trPr>
        <w:tc>
          <w:tcPr>
            <w:tcW w:w="262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gridSpan w:val="13"/>
          </w:tcPr>
          <w:p>
            <w:pPr>
              <w:ind w:left="20"/>
              <w:spacing w:after="0"/>
              <w:rPr>
                <w:sz w:val="20"/>
                <w:szCs w:val="20"/>
                <w:color w:val="auto"/>
              </w:rPr>
            </w:pPr>
            <w:r>
              <w:rPr>
                <w:rFonts w:ascii="Arial" w:cs="Arial" w:eastAsia="Arial" w:hAnsi="Arial"/>
                <w:sz w:val="22"/>
                <w:szCs w:val="22"/>
                <w:color w:val="auto"/>
                <w:w w:val="91"/>
              </w:rPr>
              <w:t>“Ending Price” shall mean the average of the closing prices of the Index or of common shares of</w:t>
            </w:r>
          </w:p>
        </w:tc>
      </w:tr>
      <w:tr>
        <w:trPr>
          <w:trHeight w:val="20"/>
        </w:trPr>
        <w:tc>
          <w:tcPr>
            <w:tcW w:w="262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7400" w:type="dxa"/>
            <w:vAlign w:val="bottom"/>
            <w:tcBorders>
              <w:right w:val="single" w:sz="8" w:color="auto"/>
            </w:tcBorders>
            <w:gridSpan w:val="9"/>
          </w:tcPr>
          <w:p>
            <w:pPr>
              <w:spacing w:after="0" w:line="20" w:lineRule="exact"/>
              <w:rPr>
                <w:sz w:val="1"/>
                <w:szCs w:val="1"/>
                <w:color w:val="auto"/>
              </w:rPr>
            </w:pPr>
          </w:p>
        </w:tc>
      </w:tr>
      <w:tr>
        <w:trPr>
          <w:trHeight w:val="284"/>
        </w:trPr>
        <w:tc>
          <w:tcPr>
            <w:tcW w:w="2620" w:type="dxa"/>
            <w:vAlign w:val="bottom"/>
            <w:tcBorders>
              <w:left w:val="single" w:sz="8" w:color="auto"/>
              <w:bottom w:val="single" w:sz="8" w:color="auto"/>
              <w:right w:val="single" w:sz="8" w:color="auto"/>
            </w:tcBorders>
          </w:tcPr>
          <w:p>
            <w:pPr>
              <w:spacing w:after="0"/>
              <w:rPr>
                <w:sz w:val="24"/>
                <w:szCs w:val="24"/>
                <w:color w:val="auto"/>
              </w:rPr>
            </w:pPr>
          </w:p>
        </w:tc>
        <w:tc>
          <w:tcPr>
            <w:tcW w:w="8640" w:type="dxa"/>
            <w:vAlign w:val="bottom"/>
            <w:tcBorders>
              <w:bottom w:val="single" w:sz="8" w:color="auto"/>
              <w:right w:val="single" w:sz="8" w:color="auto"/>
            </w:tcBorders>
            <w:gridSpan w:val="13"/>
          </w:tcPr>
          <w:p>
            <w:pPr>
              <w:ind w:left="20"/>
              <w:spacing w:after="0"/>
              <w:rPr>
                <w:sz w:val="20"/>
                <w:szCs w:val="20"/>
                <w:color w:val="auto"/>
              </w:rPr>
            </w:pPr>
            <w:r>
              <w:rPr>
                <w:rFonts w:ascii="Arial" w:cs="Arial" w:eastAsia="Arial" w:hAnsi="Arial"/>
                <w:sz w:val="22"/>
                <w:szCs w:val="22"/>
                <w:color w:val="auto"/>
              </w:rPr>
              <w:t>the Company, as applicable, during the</w:t>
            </w:r>
          </w:p>
        </w:tc>
      </w:tr>
    </w:tbl>
    <w:p>
      <w:pPr>
        <w:spacing w:after="0" w:line="149" w:lineRule="exact"/>
        <w:rPr>
          <w:sz w:val="20"/>
          <w:szCs w:val="20"/>
          <w:color w:val="auto"/>
        </w:rPr>
      </w:pPr>
    </w:p>
    <w:p>
      <w:pPr>
        <w:ind w:left="120" w:hanging="112"/>
        <w:spacing w:after="0"/>
        <w:tabs>
          <w:tab w:leader="none" w:pos="120" w:val="left"/>
        </w:tabs>
        <w:numPr>
          <w:ilvl w:val="0"/>
          <w:numId w:val="123"/>
        </w:numPr>
        <w:rPr>
          <w:rFonts w:ascii="Arial" w:cs="Arial" w:eastAsia="Arial" w:hAnsi="Arial"/>
          <w:sz w:val="29"/>
          <w:szCs w:val="29"/>
          <w:color w:val="auto"/>
          <w:vertAlign w:val="superscript"/>
        </w:rPr>
      </w:pPr>
      <w:r>
        <w:rPr>
          <w:rFonts w:ascii="Arial" w:cs="Arial" w:eastAsia="Arial" w:hAnsi="Arial"/>
          <w:sz w:val="22"/>
          <w:szCs w:val="22"/>
          <w:color w:val="auto"/>
        </w:rPr>
        <w:t>Number to correspond to grant date value of $2,000,000.</w:t>
      </w:r>
    </w:p>
    <w:p>
      <w:pPr>
        <w:sectPr>
          <w:pgSz w:w="11900" w:h="16838" w:orient="portrait"/>
          <w:cols w:equalWidth="0" w:num="1">
            <w:col w:w="11260"/>
          </w:cols>
          <w:pgMar w:left="320" w:top="575" w:right="319" w:bottom="1440" w:gutter="0" w:footer="0" w:header="0"/>
        </w:sectPr>
      </w:pPr>
    </w:p>
    <w:bookmarkStart w:id="125" w:name="page126"/>
    <w:bookmarkEnd w:id="125"/>
    <w:p>
      <w:pPr>
        <w:ind w:left="1520" w:right="80"/>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474345</wp:posOffset>
            </wp:positionV>
            <wp:extent cx="7140575" cy="23660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0575" cy="2366010"/>
                    </a:xfrm>
                    <a:prstGeom prst="rect">
                      <a:avLst/>
                    </a:prstGeom>
                    <a:noFill/>
                  </pic:spPr>
                </pic:pic>
              </a:graphicData>
            </a:graphic>
          </wp:anchor>
        </w:drawing>
        <w:t>twenty (20) consecutive trading days ending on the last trading day of the Performance Period. In determining Ending Price for the Company or the Index, the Committee may make such adjustments as it deems appropriate to reflect stock splits, spin-offs, and similar transactions that occurred during the Performance Period.</w:t>
      </w:r>
    </w:p>
    <w:p>
      <w:pPr>
        <w:spacing w:after="0" w:line="212"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TSR</w:t>
      </w:r>
      <w:r>
        <w:rPr>
          <w:rFonts w:ascii="Arial" w:cs="Arial" w:eastAsia="Arial" w:hAnsi="Arial"/>
          <w:sz w:val="22"/>
          <w:szCs w:val="22"/>
          <w:color w:val="auto"/>
        </w:rPr>
        <w:t xml:space="preserve">” shall mean the quotient of (i) the Company’s Ending Price </w:t>
      </w:r>
      <w:r>
        <w:rPr>
          <w:rFonts w:ascii="Arial" w:cs="Arial" w:eastAsia="Arial" w:hAnsi="Arial"/>
          <w:sz w:val="22"/>
          <w:szCs w:val="22"/>
          <w:i w:val="1"/>
          <w:iCs w:val="1"/>
          <w:color w:val="auto"/>
        </w:rPr>
        <w:t>minus</w:t>
      </w:r>
      <w:r>
        <w:rPr>
          <w:rFonts w:ascii="Arial" w:cs="Arial" w:eastAsia="Arial" w:hAnsi="Arial"/>
          <w:sz w:val="22"/>
          <w:szCs w:val="22"/>
          <w:color w:val="auto"/>
        </w:rPr>
        <w:t xml:space="preserve"> the Company’s Beginning Price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Company’s Dividends Paid,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(ii) the Company’s Beginning Price.</w:t>
      </w:r>
    </w:p>
    <w:p>
      <w:pPr>
        <w:spacing w:after="0" w:line="213" w:lineRule="exact"/>
        <w:rPr>
          <w:sz w:val="20"/>
          <w:szCs w:val="20"/>
          <w:color w:val="auto"/>
        </w:rPr>
      </w:pPr>
    </w:p>
    <w:p>
      <w:pPr>
        <w:ind w:left="1520" w:right="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Comparator Group TSR</w:t>
      </w:r>
      <w:r>
        <w:rPr>
          <w:rFonts w:ascii="Arial" w:cs="Arial" w:eastAsia="Arial" w:hAnsi="Arial"/>
          <w:sz w:val="22"/>
          <w:szCs w:val="22"/>
          <w:color w:val="auto"/>
        </w:rPr>
        <w:t xml:space="preserve">” shall mean the quotient of (i) the Index’s Ending Price </w:t>
      </w:r>
      <w:r>
        <w:rPr>
          <w:rFonts w:ascii="Arial" w:cs="Arial" w:eastAsia="Arial" w:hAnsi="Arial"/>
          <w:sz w:val="22"/>
          <w:szCs w:val="22"/>
          <w:i w:val="1"/>
          <w:iCs w:val="1"/>
          <w:color w:val="auto"/>
        </w:rPr>
        <w:t>minus</w:t>
      </w:r>
      <w:r>
        <w:rPr>
          <w:rFonts w:ascii="Arial" w:cs="Arial" w:eastAsia="Arial" w:hAnsi="Arial"/>
          <w:sz w:val="22"/>
          <w:szCs w:val="22"/>
          <w:color w:val="auto"/>
        </w:rPr>
        <w:t xml:space="preserve"> the Index’s Beginning Price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Index’s Dividends Paid,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(ii) the Index’s Beginning Price.</w:t>
      </w:r>
    </w:p>
    <w:p>
      <w:pPr>
        <w:spacing w:after="0" w:line="213" w:lineRule="exact"/>
        <w:rPr>
          <w:sz w:val="20"/>
          <w:szCs w:val="20"/>
          <w:color w:val="auto"/>
        </w:rPr>
      </w:pPr>
    </w:p>
    <w:p>
      <w:pPr>
        <w:ind w:left="1520" w:right="320"/>
        <w:spacing w:after="0" w:line="250" w:lineRule="auto"/>
        <w:rPr>
          <w:sz w:val="20"/>
          <w:szCs w:val="20"/>
          <w:color w:val="auto"/>
        </w:rPr>
      </w:pPr>
      <w:r>
        <w:rPr>
          <w:rFonts w:ascii="Arial" w:cs="Arial" w:eastAsia="Arial" w:hAnsi="Arial"/>
          <w:sz w:val="22"/>
          <w:szCs w:val="22"/>
          <w:color w:val="auto"/>
        </w:rPr>
        <w:t>The TSR Performance Goal shall be subject to adjustment by the Committee in the event of an event described in Section 4(b) of the Plan.</w:t>
      </w:r>
    </w:p>
    <w:p>
      <w:pPr>
        <w:sectPr>
          <w:pgSz w:w="11900" w:h="16838" w:orient="portrait"/>
          <w:cols w:equalWidth="0" w:num="1">
            <w:col w:w="10020"/>
          </w:cols>
          <w:pgMar w:left="1440" w:top="766" w:right="4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Bradley S. Jacobs, certify that:</w:t>
      </w:r>
    </w:p>
    <w:p>
      <w:pPr>
        <w:spacing w:after="0" w:line="117" w:lineRule="exact"/>
        <w:rPr>
          <w:sz w:val="20"/>
          <w:szCs w:val="20"/>
          <w:color w:val="auto"/>
        </w:rPr>
      </w:pPr>
    </w:p>
    <w:p>
      <w:pPr>
        <w:ind w:left="620" w:hanging="180"/>
        <w:spacing w:after="0"/>
        <w:tabs>
          <w:tab w:leader="none" w:pos="6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2020 of XPO Logistics, Inc.;</w:t>
      </w:r>
    </w:p>
    <w:p>
      <w:pPr>
        <w:spacing w:after="0" w:line="117" w:lineRule="exact"/>
        <w:rPr>
          <w:rFonts w:ascii="Arial" w:cs="Arial" w:eastAsia="Arial" w:hAnsi="Arial"/>
          <w:sz w:val="18"/>
          <w:szCs w:val="18"/>
          <w:color w:val="auto"/>
        </w:rPr>
      </w:pPr>
    </w:p>
    <w:p>
      <w:pPr>
        <w:ind w:right="160" w:firstLine="440"/>
        <w:spacing w:after="0" w:line="342" w:lineRule="auto"/>
        <w:tabs>
          <w:tab w:leader="none" w:pos="61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20" w:firstLine="440"/>
        <w:spacing w:after="0" w:line="277" w:lineRule="auto"/>
        <w:tabs>
          <w:tab w:leader="none" w:pos="61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80" w:firstLine="440"/>
        <w:spacing w:after="0" w:line="263" w:lineRule="auto"/>
        <w:tabs>
          <w:tab w:leader="none" w:pos="61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80" w:firstLine="885"/>
        <w:spacing w:after="0" w:line="263" w:lineRule="auto"/>
        <w:tabs>
          <w:tab w:leader="none" w:pos="112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885"/>
        <w:spacing w:after="0" w:line="263" w:lineRule="auto"/>
        <w:tabs>
          <w:tab w:leader="none" w:pos="113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400" w:firstLine="885"/>
        <w:spacing w:after="0" w:line="342" w:lineRule="auto"/>
        <w:tabs>
          <w:tab w:leader="none" w:pos="1122" w:val="left"/>
        </w:tabs>
        <w:numPr>
          <w:ilvl w:val="1"/>
          <w:numId w:val="1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40" w:firstLine="885"/>
        <w:spacing w:after="0" w:line="263" w:lineRule="auto"/>
        <w:tabs>
          <w:tab w:leader="none" w:pos="113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20" w:firstLine="440"/>
        <w:spacing w:after="0" w:line="308" w:lineRule="auto"/>
        <w:tabs>
          <w:tab w:leader="none" w:pos="612"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20" w:firstLine="885"/>
        <w:spacing w:after="0" w:line="308" w:lineRule="auto"/>
        <w:tabs>
          <w:tab w:leader="none" w:pos="1122" w:val="left"/>
        </w:tabs>
        <w:numPr>
          <w:ilvl w:val="1"/>
          <w:numId w:val="1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00" w:firstLine="885"/>
        <w:spacing w:after="0" w:line="277" w:lineRule="auto"/>
        <w:tabs>
          <w:tab w:leader="none" w:pos="113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Bradley S.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31750</wp:posOffset>
            </wp:positionV>
            <wp:extent cx="25628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Bradley S. Jacobs</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5, 2020</w:t>
      </w:r>
    </w:p>
    <w:p>
      <w:pPr>
        <w:sectPr>
          <w:pgSz w:w="11900" w:h="16838" w:orient="portrait"/>
          <w:cols w:equalWidth="0" w:num="1">
            <w:col w:w="11240"/>
          </w:cols>
          <w:pgMar w:left="320" w:top="553"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B. Wyshner, certify that:</w:t>
      </w:r>
    </w:p>
    <w:p>
      <w:pPr>
        <w:spacing w:after="0" w:line="117" w:lineRule="exact"/>
        <w:rPr>
          <w:sz w:val="20"/>
          <w:szCs w:val="20"/>
          <w:color w:val="auto"/>
        </w:rPr>
      </w:pPr>
    </w:p>
    <w:p>
      <w:pPr>
        <w:ind w:left="620" w:hanging="180"/>
        <w:spacing w:after="0"/>
        <w:tabs>
          <w:tab w:leader="none" w:pos="6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2020 of XPO Logistics, Inc.;</w:t>
      </w:r>
    </w:p>
    <w:p>
      <w:pPr>
        <w:spacing w:after="0" w:line="117" w:lineRule="exact"/>
        <w:rPr>
          <w:rFonts w:ascii="Arial" w:cs="Arial" w:eastAsia="Arial" w:hAnsi="Arial"/>
          <w:sz w:val="18"/>
          <w:szCs w:val="18"/>
          <w:color w:val="auto"/>
        </w:rPr>
      </w:pPr>
    </w:p>
    <w:p>
      <w:pPr>
        <w:ind w:right="160" w:firstLine="440"/>
        <w:spacing w:after="0" w:line="342" w:lineRule="auto"/>
        <w:tabs>
          <w:tab w:leader="none" w:pos="61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20" w:firstLine="440"/>
        <w:spacing w:after="0" w:line="277" w:lineRule="auto"/>
        <w:tabs>
          <w:tab w:leader="none" w:pos="61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80" w:firstLine="440"/>
        <w:spacing w:after="0" w:line="263" w:lineRule="auto"/>
        <w:tabs>
          <w:tab w:leader="none" w:pos="61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80" w:firstLine="885"/>
        <w:spacing w:after="0" w:line="263" w:lineRule="auto"/>
        <w:tabs>
          <w:tab w:leader="none" w:pos="112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885"/>
        <w:spacing w:after="0" w:line="263" w:lineRule="auto"/>
        <w:tabs>
          <w:tab w:leader="none" w:pos="113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400" w:firstLine="885"/>
        <w:spacing w:after="0" w:line="342" w:lineRule="auto"/>
        <w:tabs>
          <w:tab w:leader="none" w:pos="1122" w:val="left"/>
        </w:tabs>
        <w:numPr>
          <w:ilvl w:val="1"/>
          <w:numId w:val="1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40" w:firstLine="885"/>
        <w:spacing w:after="0" w:line="263" w:lineRule="auto"/>
        <w:tabs>
          <w:tab w:leader="none" w:pos="113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20" w:firstLine="440"/>
        <w:spacing w:after="0" w:line="308" w:lineRule="auto"/>
        <w:tabs>
          <w:tab w:leader="none" w:pos="612"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20" w:firstLine="885"/>
        <w:spacing w:after="0" w:line="308" w:lineRule="auto"/>
        <w:tabs>
          <w:tab w:leader="none" w:pos="1122" w:val="left"/>
        </w:tabs>
        <w:numPr>
          <w:ilvl w:val="1"/>
          <w:numId w:val="1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00" w:firstLine="885"/>
        <w:spacing w:after="0" w:line="277" w:lineRule="auto"/>
        <w:tabs>
          <w:tab w:leader="none" w:pos="113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31750</wp:posOffset>
            </wp:positionV>
            <wp:extent cx="25628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B. Wyshner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5, 2020</w:t>
      </w:r>
    </w:p>
    <w:p>
      <w:pPr>
        <w:sectPr>
          <w:pgSz w:w="11900" w:h="16838" w:orient="portrait"/>
          <w:cols w:equalWidth="0" w:num="1">
            <w:col w:w="11240"/>
          </w:cols>
          <w:pgMar w:left="320" w:top="553"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Executive Officer of XPO Logistics, Inc. (the “Company”), hereby certify, based on my knowledge, that the Quarterly Report on Form 10-Q of the Company for the quarter ended March 31, 2020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Bradley S.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31750</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Bradley S. Jacobs</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5, 2020</w:t>
      </w:r>
    </w:p>
    <w:p>
      <w:pPr>
        <w:sectPr>
          <w:pgSz w:w="11900" w:h="16838" w:orient="portrait"/>
          <w:cols w:equalWidth="0" w:num="1">
            <w:col w:w="11240"/>
          </w:cols>
          <w:pgMar w:left="320" w:top="553"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Financial Officer of XPO Logistics, Inc. (the “Company”), hereby certify, based on my knowledge, that the Quarterly Report on Form 10-Q of the Company for the quarter ended March 31, 2020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31750</wp:posOffset>
            </wp:positionV>
            <wp:extent cx="2562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B. Wyshner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5, 2020</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1)"/>
      <w:numFmt w:val="decimal"/>
      <w:start w:val="1"/>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
      <w:numFmt w:val="bullet"/>
      <w:start w:val="1"/>
    </w:lvl>
  </w:abstractNum>
  <w:abstractNum w:abstractNumId="6">
    <w:nsid w:val="1DBABF00"/>
    <w:multiLevelType w:val="hybridMultilevel"/>
    <w:lvl w:ilvl="0">
      <w:lvlJc w:val="left"/>
      <w:lvlText w:val="(%1)"/>
      <w:numFmt w:val="decimal"/>
      <w:start w:val="1"/>
    </w:lvl>
  </w:abstractNum>
  <w:abstractNum w:abstractNumId="7">
    <w:nsid w:val="4AD084E9"/>
    <w:multiLevelType w:val="hybridMultilevel"/>
    <w:lvl w:ilvl="0">
      <w:lvlJc w:val="left"/>
      <w:lvlText w:val="(%1)"/>
      <w:numFmt w:val="decimal"/>
      <w:start w:val="1"/>
    </w:lvl>
  </w:abstractNum>
  <w:abstractNum w:abstractNumId="8">
    <w:nsid w:val="1F48EAA1"/>
    <w:multiLevelType w:val="hybridMultilevel"/>
    <w:lvl w:ilvl="0">
      <w:lvlJc w:val="left"/>
      <w:lvlText w:val="**"/>
      <w:numFmt w:val="bullet"/>
      <w:start w:val="1"/>
    </w:lvl>
    <w:lvl w:ilvl="1">
      <w:lvlJc w:val="left"/>
      <w:lvlText w:val="*"/>
      <w:numFmt w:val="bullet"/>
      <w:start w:val="1"/>
    </w:lvl>
  </w:abstractNum>
  <w:abstractNum w:abstractNumId="9">
    <w:nsid w:val="1381823A"/>
    <w:multiLevelType w:val="hybridMultilevel"/>
    <w:lvl w:ilvl="0">
      <w:lvlJc w:val="left"/>
      <w:lvlText w:val="+"/>
      <w:numFmt w:val="bullet"/>
      <w:start w:val="1"/>
    </w:lvl>
  </w:abstractNum>
  <w:abstractNum w:abstractNumId="10">
    <w:nsid w:val="5DB70AE5"/>
    <w:multiLevelType w:val="hybridMultilevel"/>
    <w:lvl w:ilvl="0">
      <w:lvlJc w:val="left"/>
      <w:lvlText w:val="%1."/>
      <w:numFmt w:val="decimal"/>
      <w:start w:val="1"/>
    </w:lvl>
  </w:abstractNum>
  <w:abstractNum w:abstractNumId="11">
    <w:nsid w:val="100F8FCA"/>
    <w:multiLevelType w:val="hybridMultilevel"/>
    <w:lvl w:ilvl="0">
      <w:lvlJc w:val="left"/>
      <w:lvlText w:val="(%1)"/>
      <w:numFmt w:val="lowerLetter"/>
      <w:start w:val="1"/>
    </w:lvl>
  </w:abstractNum>
  <w:abstractNum w:abstractNumId="12">
    <w:nsid w:val="6590700B"/>
    <w:multiLevelType w:val="hybridMultilevel"/>
    <w:lvl w:ilvl="0">
      <w:lvlJc w:val="left"/>
      <w:lvlText w:val="(%1)"/>
      <w:numFmt w:val="lowerLetter"/>
      <w:start w:val="2"/>
    </w:lvl>
  </w:abstractNum>
  <w:abstractNum w:abstractNumId="13">
    <w:nsid w:val="15014ACB"/>
    <w:multiLevelType w:val="hybridMultilevel"/>
    <w:lvl w:ilvl="0">
      <w:lvlJc w:val="left"/>
      <w:lvlText w:val="%1."/>
      <w:numFmt w:val="decimal"/>
      <w:start w:val="4"/>
    </w:lvl>
  </w:abstractNum>
  <w:abstractNum w:abstractNumId="14">
    <w:nsid w:val="5F5E7FD0"/>
    <w:multiLevelType w:val="hybridMultilevel"/>
    <w:lvl w:ilvl="0">
      <w:lvlJc w:val="left"/>
      <w:lvlText w:val="%1."/>
      <w:numFmt w:val="decimal"/>
      <w:start w:val="5"/>
    </w:lvl>
  </w:abstractNum>
  <w:abstractNum w:abstractNumId="15">
    <w:nsid w:val="98A3148"/>
    <w:multiLevelType w:val="hybridMultilevel"/>
    <w:lvl w:ilvl="0">
      <w:lvlJc w:val="left"/>
      <w:lvlText w:val="(%1)"/>
      <w:numFmt w:val="lowerLetter"/>
      <w:start w:val="1"/>
    </w:lvl>
  </w:abstractNum>
  <w:abstractNum w:abstractNumId="16">
    <w:nsid w:val="799D0247"/>
    <w:multiLevelType w:val="hybridMultilevel"/>
    <w:lvl w:ilvl="0">
      <w:lvlJc w:val="left"/>
      <w:lvlText w:val="(%1)"/>
      <w:numFmt w:val="lowerLetter"/>
      <w:start w:val="4"/>
    </w:lvl>
  </w:abstractNum>
  <w:abstractNum w:abstractNumId="17">
    <w:nsid w:val="6B94764"/>
    <w:multiLevelType w:val="hybridMultilevel"/>
    <w:lvl w:ilvl="0">
      <w:lvlJc w:val="left"/>
      <w:lvlText w:val="%1"/>
      <w:numFmt w:val="lowerRoman"/>
      <w:start w:val="1"/>
    </w:lvl>
    <w:lvl w:ilvl="1">
      <w:lvlJc w:val="left"/>
      <w:lvlText w:val="%2."/>
      <w:numFmt w:val="decimal"/>
      <w:start w:val="6"/>
    </w:lvl>
  </w:abstractNum>
  <w:abstractNum w:abstractNumId="18">
    <w:nsid w:val="42C296BD"/>
    <w:multiLevelType w:val="hybridMultilevel"/>
    <w:lvl w:ilvl="0">
      <w:lvlJc w:val="left"/>
      <w:lvlText w:val="(%1)"/>
      <w:numFmt w:val="lowerRoman"/>
      <w:start w:val="3"/>
    </w:lvl>
    <w:lvl w:ilvl="1">
      <w:lvlJc w:val="left"/>
      <w:lvlText w:val="%2"/>
      <w:numFmt w:val="decimal"/>
      <w:start w:val="1"/>
    </w:lvl>
  </w:abstractNum>
  <w:abstractNum w:abstractNumId="19">
    <w:nsid w:val="168E121F"/>
    <w:multiLevelType w:val="hybridMultilevel"/>
    <w:lvl w:ilvl="0">
      <w:lvlJc w:val="left"/>
      <w:lvlText w:val="(%1)"/>
      <w:numFmt w:val="lowerLetter"/>
      <w:start w:val="2"/>
    </w:lvl>
  </w:abstractNum>
  <w:abstractNum w:abstractNumId="20">
    <w:nsid w:val="1EBA5D23"/>
    <w:multiLevelType w:val="hybridMultilevel"/>
    <w:lvl w:ilvl="0">
      <w:lvlJc w:val="left"/>
      <w:lvlText w:val="(%1)"/>
      <w:numFmt w:val="lowerRoman"/>
      <w:start w:val="1"/>
    </w:lvl>
  </w:abstractNum>
  <w:abstractNum w:abstractNumId="21">
    <w:nsid w:val="661E3F1E"/>
    <w:multiLevelType w:val="hybridMultilevel"/>
    <w:lvl w:ilvl="0">
      <w:lvlJc w:val="left"/>
      <w:lvlText w:val="(%1)"/>
      <w:numFmt w:val="lowerRoman"/>
      <w:start w:val="3"/>
    </w:lvl>
  </w:abstractNum>
  <w:abstractNum w:abstractNumId="22">
    <w:nsid w:val="5DC79EA8"/>
    <w:multiLevelType w:val="hybridMultilevel"/>
    <w:lvl w:ilvl="0">
      <w:lvlJc w:val="left"/>
      <w:lvlText w:val="(%1)"/>
      <w:numFmt w:val="lowerLetter"/>
      <w:start w:val="4"/>
    </w:lvl>
  </w:abstractNum>
  <w:abstractNum w:abstractNumId="23">
    <w:nsid w:val="540A471C"/>
    <w:multiLevelType w:val="hybridMultilevel"/>
    <w:lvl w:ilvl="0">
      <w:lvlJc w:val="left"/>
      <w:lvlText w:val="(%1)"/>
      <w:numFmt w:val="lowerRoman"/>
      <w:start w:val="1"/>
    </w:lvl>
  </w:abstractNum>
  <w:abstractNum w:abstractNumId="24">
    <w:nsid w:val="7BD3EE7B"/>
    <w:multiLevelType w:val="hybridMultilevel"/>
    <w:lvl w:ilvl="0">
      <w:lvlJc w:val="left"/>
      <w:lvlText w:val="(%1)"/>
      <w:numFmt w:val="lowerLetter"/>
      <w:start w:val="5"/>
    </w:lvl>
  </w:abstractNum>
  <w:abstractNum w:abstractNumId="25">
    <w:nsid w:val="51D9C564"/>
    <w:multiLevelType w:val="hybridMultilevel"/>
    <w:lvl w:ilvl="0">
      <w:lvlJc w:val="left"/>
      <w:lvlText w:val="%1"/>
      <w:numFmt w:val="lowerLetter"/>
      <w:start w:val="1"/>
    </w:lvl>
    <w:lvl w:ilvl="1">
      <w:lvlJc w:val="left"/>
      <w:lvlText w:val="(%2)"/>
      <w:numFmt w:val="lowerLetter"/>
      <w:start w:val="6"/>
    </w:lvl>
  </w:abstractNum>
  <w:abstractNum w:abstractNumId="26">
    <w:nsid w:val="613EFDC5"/>
    <w:multiLevelType w:val="hybridMultilevel"/>
    <w:lvl w:ilvl="0">
      <w:lvlJc w:val="left"/>
      <w:lvlText w:val="(%1)"/>
      <w:numFmt w:val="lowerLetter"/>
      <w:start w:val="25"/>
    </w:lvl>
    <w:lvl w:ilvl="1">
      <w:lvlJc w:val="left"/>
      <w:lvlText w:val="(%2)"/>
      <w:numFmt w:val="lowerLetter"/>
      <w:start w:val="7"/>
    </w:lvl>
  </w:abstractNum>
  <w:abstractNum w:abstractNumId="27">
    <w:nsid w:val="BF72B14"/>
    <w:multiLevelType w:val="hybridMultilevel"/>
    <w:lvl w:ilvl="0">
      <w:lvlJc w:val="left"/>
      <w:lvlText w:val="%1."/>
      <w:numFmt w:val="decimal"/>
      <w:start w:val="7"/>
    </w:lvl>
  </w:abstractNum>
  <w:abstractNum w:abstractNumId="28">
    <w:nsid w:val="11447B73"/>
    <w:multiLevelType w:val="hybridMultilevel"/>
    <w:lvl w:ilvl="0">
      <w:lvlJc w:val="left"/>
      <w:lvlText w:val="(%1)"/>
      <w:numFmt w:val="lowerLetter"/>
      <w:start w:val="2"/>
    </w:lvl>
  </w:abstractNum>
  <w:abstractNum w:abstractNumId="29">
    <w:nsid w:val="42963E5A"/>
    <w:multiLevelType w:val="hybridMultilevel"/>
    <w:lvl w:ilvl="0">
      <w:lvlJc w:val="left"/>
      <w:lvlText w:val="(%1)"/>
      <w:numFmt w:val="lowerRoman"/>
      <w:start w:val="1"/>
    </w:lvl>
  </w:abstractNum>
  <w:abstractNum w:abstractNumId="30">
    <w:nsid w:val="A0382C5"/>
    <w:multiLevelType w:val="hybridMultilevel"/>
    <w:lvl w:ilvl="0">
      <w:lvlJc w:val="left"/>
      <w:lvlText w:val="(%1)"/>
      <w:numFmt w:val="lowerRoman"/>
      <w:start w:val="2"/>
    </w:lvl>
  </w:abstractNum>
  <w:abstractNum w:abstractNumId="31">
    <w:nsid w:val="8F2B15E"/>
    <w:multiLevelType w:val="hybridMultilevel"/>
    <w:lvl w:ilvl="0">
      <w:lvlJc w:val="left"/>
      <w:lvlText w:val="(%1)"/>
      <w:numFmt w:val="lowerLetter"/>
      <w:start w:val="2"/>
    </w:lvl>
  </w:abstractNum>
  <w:abstractNum w:abstractNumId="32">
    <w:nsid w:val="1A32234B"/>
    <w:multiLevelType w:val="hybridMultilevel"/>
    <w:lvl w:ilvl="0">
      <w:lvlJc w:val="left"/>
      <w:lvlText w:val="(%1)"/>
      <w:numFmt w:val="lowerLetter"/>
      <w:start w:val="9"/>
    </w:lvl>
    <w:lvl w:ilvl="1">
      <w:lvlJc w:val="left"/>
      <w:lvlText w:val="(%2)"/>
      <w:numFmt w:val="lowerLetter"/>
      <w:start w:val="3"/>
    </w:lvl>
  </w:abstractNum>
  <w:abstractNum w:abstractNumId="33">
    <w:nsid w:val="3B0FD379"/>
    <w:multiLevelType w:val="hybridMultilevel"/>
    <w:lvl w:ilvl="0">
      <w:lvlJc w:val="left"/>
      <w:lvlText w:val="(%1)"/>
      <w:numFmt w:val="lowerLetter"/>
      <w:start w:val="4"/>
    </w:lvl>
  </w:abstractNum>
  <w:abstractNum w:abstractNumId="34">
    <w:nsid w:val="68EB2F63"/>
    <w:multiLevelType w:val="hybridMultilevel"/>
    <w:lvl w:ilvl="0">
      <w:lvlJc w:val="left"/>
      <w:lvlText w:val="%1."/>
      <w:numFmt w:val="decimal"/>
      <w:start w:val="9"/>
    </w:lvl>
  </w:abstractNum>
  <w:abstractNum w:abstractNumId="35">
    <w:nsid w:val="4962813B"/>
    <w:multiLevelType w:val="hybridMultilevel"/>
    <w:lvl w:ilvl="0">
      <w:lvlJc w:val="left"/>
      <w:lvlText w:val="(%1)"/>
      <w:numFmt w:val="lowerLetter"/>
      <w:start w:val="2"/>
    </w:lvl>
  </w:abstractNum>
  <w:abstractNum w:abstractNumId="36">
    <w:nsid w:val="60B6DF70"/>
    <w:multiLevelType w:val="hybridMultilevel"/>
    <w:lvl w:ilvl="0">
      <w:lvlJc w:val="left"/>
      <w:lvlText w:val="(%1)"/>
      <w:numFmt w:val="lowerLetter"/>
      <w:start w:val="5"/>
    </w:lvl>
  </w:abstractNum>
  <w:abstractNum w:abstractNumId="37">
    <w:nsid w:val="6A5EE64"/>
    <w:multiLevelType w:val="hybridMultilevel"/>
    <w:lvl w:ilvl="0">
      <w:lvlJc w:val="left"/>
      <w:lvlText w:val="(%1)"/>
      <w:numFmt w:val="lowerLetter"/>
      <w:start w:val="7"/>
    </w:lvl>
  </w:abstractNum>
  <w:abstractNum w:abstractNumId="38">
    <w:nsid w:val="14330624"/>
    <w:multiLevelType w:val="hybridMultilevel"/>
    <w:lvl w:ilvl="0">
      <w:lvlJc w:val="left"/>
      <w:lvlText w:val="(%1)"/>
      <w:numFmt w:val="lowerRoman"/>
      <w:start w:val="2"/>
    </w:lvl>
  </w:abstractNum>
  <w:abstractNum w:abstractNumId="39">
    <w:nsid w:val="7FFFCA11"/>
    <w:multiLevelType w:val="hybridMultilevel"/>
    <w:lvl w:ilvl="0">
      <w:lvlJc w:val="left"/>
      <w:lvlText w:val="(%1)"/>
      <w:numFmt w:val="lowerLetter"/>
      <w:start w:val="13"/>
    </w:lvl>
  </w:abstractNum>
  <w:abstractNum w:abstractNumId="40">
    <w:nsid w:val="1A27709E"/>
    <w:multiLevelType w:val="hybridMultilevel"/>
    <w:lvl w:ilvl="0">
      <w:lvlJc w:val="left"/>
      <w:lvlText w:val="(%1)"/>
      <w:numFmt w:val="lowerRoman"/>
      <w:start w:val="2"/>
    </w:lvl>
  </w:abstractNum>
  <w:abstractNum w:abstractNumId="41">
    <w:nsid w:val="71EA1109"/>
    <w:multiLevelType w:val="hybridMultilevel"/>
    <w:lvl w:ilvl="0">
      <w:lvlJc w:val="left"/>
      <w:lvlText w:val="(%1)"/>
      <w:numFmt w:val="lowerRoman"/>
      <w:start w:val="3"/>
    </w:lvl>
  </w:abstractNum>
  <w:abstractNum w:abstractNumId="42">
    <w:nsid w:val="100F59DC"/>
    <w:multiLevelType w:val="hybridMultilevel"/>
    <w:lvl w:ilvl="0">
      <w:lvlJc w:val="left"/>
      <w:lvlText w:val="(%1)"/>
      <w:numFmt w:val="lowerLetter"/>
      <w:start w:val="14"/>
    </w:lvl>
  </w:abstractNum>
  <w:abstractNum w:abstractNumId="43">
    <w:nsid w:val="7FB7E0AA"/>
    <w:multiLevelType w:val="hybridMultilevel"/>
    <w:lvl w:ilvl="0">
      <w:lvlJc w:val="left"/>
      <w:lvlText w:val="(%1)"/>
      <w:numFmt w:val="lowerRoman"/>
      <w:start w:val="1"/>
    </w:lvl>
  </w:abstractNum>
  <w:abstractNum w:abstractNumId="44">
    <w:nsid w:val="6EB5BD4"/>
    <w:multiLevelType w:val="hybridMultilevel"/>
    <w:lvl w:ilvl="0">
      <w:lvlJc w:val="left"/>
      <w:lvlText w:val="(%1)"/>
      <w:numFmt w:val="lowerRoman"/>
      <w:start w:val="3"/>
    </w:lvl>
  </w:abstractNum>
  <w:abstractNum w:abstractNumId="45">
    <w:nsid w:val="6F6DD9AC"/>
    <w:multiLevelType w:val="hybridMultilevel"/>
    <w:lvl w:ilvl="0">
      <w:lvlJc w:val="left"/>
      <w:lvlText w:val="(%1)"/>
      <w:numFmt w:val="lowerLetter"/>
      <w:start w:val="1"/>
    </w:lvl>
  </w:abstractNum>
  <w:abstractNum w:abstractNumId="46">
    <w:nsid w:val="94211F2"/>
    <w:multiLevelType w:val="hybridMultilevel"/>
    <w:lvl w:ilvl="0">
      <w:lvlJc w:val="left"/>
      <w:lvlText w:val="(%1)"/>
      <w:numFmt w:val="lowerRoman"/>
      <w:start w:val="1"/>
    </w:lvl>
  </w:abstractNum>
  <w:abstractNum w:abstractNumId="47">
    <w:nsid w:val="885E1B"/>
    <w:multiLevelType w:val="hybridMultilevel"/>
    <w:lvl w:ilvl="0">
      <w:lvlJc w:val="left"/>
      <w:lvlText w:val="(%1)"/>
      <w:numFmt w:val="lowerLetter"/>
      <w:start w:val="4"/>
    </w:lvl>
  </w:abstractNum>
  <w:abstractNum w:abstractNumId="48">
    <w:nsid w:val="76272110"/>
    <w:multiLevelType w:val="hybridMultilevel"/>
    <w:lvl w:ilvl="0">
      <w:lvlJc w:val="left"/>
      <w:lvlText w:val="(%1)"/>
      <w:numFmt w:val="lowerLetter"/>
      <w:start w:val="2"/>
    </w:lvl>
  </w:abstractNum>
  <w:abstractNum w:abstractNumId="49">
    <w:nsid w:val="4C04A8AF"/>
    <w:multiLevelType w:val="hybridMultilevel"/>
    <w:lvl w:ilvl="0">
      <w:lvlJc w:val="left"/>
      <w:lvlText w:val="(%1)"/>
      <w:numFmt w:val="lowerLetter"/>
      <w:start w:val="2"/>
    </w:lvl>
    <w:lvl w:ilvl="1">
      <w:lvlJc w:val="left"/>
      <w:lvlText w:val="(%2)"/>
      <w:numFmt w:val="lowerLetter"/>
      <w:start w:val="3"/>
    </w:lvl>
  </w:abstractNum>
  <w:abstractNum w:abstractNumId="50">
    <w:nsid w:val="1716703B"/>
    <w:multiLevelType w:val="hybridMultilevel"/>
    <w:lvl w:ilvl="0">
      <w:lvlJc w:val="left"/>
      <w:lvlText w:val="(%1)"/>
      <w:numFmt w:val="lowerLetter"/>
      <w:start w:val="2"/>
    </w:lvl>
    <w:lvl w:ilvl="1">
      <w:lvlJc w:val="left"/>
      <w:lvlText w:val="(%2)"/>
      <w:numFmt w:val="lowerLetter"/>
      <w:start w:val="3"/>
    </w:lvl>
  </w:abstractNum>
  <w:abstractNum w:abstractNumId="51">
    <w:nsid w:val="14E17E33"/>
    <w:multiLevelType w:val="hybridMultilevel"/>
    <w:lvl w:ilvl="0">
      <w:lvlJc w:val="left"/>
      <w:lvlText w:val="(%1)"/>
      <w:numFmt w:val="lowerLetter"/>
      <w:start w:val="4"/>
    </w:lvl>
  </w:abstractNum>
  <w:abstractNum w:abstractNumId="52">
    <w:nsid w:val="3222E7CD"/>
    <w:multiLevelType w:val="hybridMultilevel"/>
    <w:lvl w:ilvl="0">
      <w:lvlJc w:val="left"/>
      <w:lvlText w:val="1"/>
      <w:numFmt w:val="bullet"/>
      <w:start w:val="1"/>
    </w:lvl>
  </w:abstractNum>
  <w:abstractNum w:abstractNumId="53">
    <w:nsid w:val="74DE0EE3"/>
    <w:multiLevelType w:val="hybridMultilevel"/>
    <w:lvl w:ilvl="0">
      <w:lvlJc w:val="left"/>
      <w:lvlText w:val="(%1)"/>
      <w:numFmt w:val="lowerLetter"/>
      <w:start w:val="1"/>
    </w:lvl>
  </w:abstractNum>
  <w:abstractNum w:abstractNumId="54">
    <w:nsid w:val="68EBC550"/>
    <w:multiLevelType w:val="hybridMultilevel"/>
    <w:lvl w:ilvl="0">
      <w:lvlJc w:val="left"/>
      <w:lvlText w:val="(%1)"/>
      <w:numFmt w:val="lowerLetter"/>
      <w:start w:val="2"/>
    </w:lvl>
    <w:lvl w:ilvl="1">
      <w:lvlJc w:val="left"/>
      <w:lvlText w:val="(%2)"/>
      <w:numFmt w:val="lowerRoman"/>
      <w:start w:val="1"/>
    </w:lvl>
  </w:abstractNum>
  <w:abstractNum w:abstractNumId="55">
    <w:nsid w:val="2DF6D648"/>
    <w:multiLevelType w:val="hybridMultilevel"/>
    <w:lvl w:ilvl="0">
      <w:lvlJc w:val="left"/>
      <w:lvlText w:val="(%1)"/>
      <w:numFmt w:val="lowerLetter"/>
      <w:start w:val="1"/>
    </w:lvl>
  </w:abstractNum>
  <w:abstractNum w:abstractNumId="56">
    <w:nsid w:val="46B7D447"/>
    <w:multiLevelType w:val="hybridMultilevel"/>
    <w:lvl w:ilvl="0">
      <w:lvlJc w:val="left"/>
      <w:lvlText w:val="(%1)"/>
      <w:numFmt w:val="lowerLetter"/>
      <w:start w:val="3"/>
    </w:lvl>
  </w:abstractNum>
  <w:abstractNum w:abstractNumId="57">
    <w:nsid w:val="4A2AC315"/>
    <w:multiLevelType w:val="hybridMultilevel"/>
    <w:lvl w:ilvl="0">
      <w:lvlJc w:val="left"/>
      <w:lvlText w:val="(%1)"/>
      <w:numFmt w:val="lowerLetter"/>
      <w:start w:val="1"/>
    </w:lvl>
  </w:abstractNum>
  <w:abstractNum w:abstractNumId="58">
    <w:nsid w:val="39EE015C"/>
    <w:multiLevelType w:val="hybridMultilevel"/>
    <w:lvl w:ilvl="0">
      <w:lvlJc w:val="left"/>
      <w:lvlText w:val="(%1)"/>
      <w:numFmt w:val="lowerLetter"/>
      <w:start w:val="1"/>
    </w:lvl>
  </w:abstractNum>
  <w:abstractNum w:abstractNumId="59">
    <w:nsid w:val="57FC4FBB"/>
    <w:multiLevelType w:val="hybridMultilevel"/>
    <w:lvl w:ilvl="0">
      <w:lvlJc w:val="left"/>
      <w:lvlText w:val="(%1)"/>
      <w:numFmt w:val="lowerLetter"/>
      <w:start w:val="2"/>
    </w:lvl>
  </w:abstractNum>
  <w:abstractNum w:abstractNumId="60">
    <w:nsid w:val="CC1016F"/>
    <w:multiLevelType w:val="hybridMultilevel"/>
    <w:lvl w:ilvl="0">
      <w:lvlJc w:val="left"/>
      <w:lvlText w:val="2"/>
      <w:numFmt w:val="bullet"/>
      <w:start w:val="1"/>
    </w:lvl>
  </w:abstractNum>
  <w:abstractNum w:abstractNumId="61">
    <w:nsid w:val="43F18422"/>
    <w:multiLevelType w:val="hybridMultilevel"/>
    <w:lvl w:ilvl="0">
      <w:lvlJc w:val="left"/>
      <w:lvlText w:val="%1."/>
      <w:numFmt w:val="decimal"/>
      <w:start w:val="1"/>
    </w:lvl>
  </w:abstractNum>
  <w:abstractNum w:abstractNumId="62">
    <w:nsid w:val="60EF0119"/>
    <w:multiLevelType w:val="hybridMultilevel"/>
    <w:lvl w:ilvl="0">
      <w:lvlJc w:val="left"/>
      <w:lvlText w:val="%1"/>
      <w:numFmt w:val="decimal"/>
      <w:start w:val="1"/>
    </w:lvl>
    <w:lvl w:ilvl="1">
      <w:lvlJc w:val="left"/>
      <w:lvlText w:val="(%2)"/>
      <w:numFmt w:val="lowerRoman"/>
      <w:start w:val="2"/>
    </w:lvl>
  </w:abstractNum>
  <w:abstractNum w:abstractNumId="63">
    <w:nsid w:val="26F324BA"/>
    <w:multiLevelType w:val="hybridMultilevel"/>
    <w:lvl w:ilvl="0">
      <w:lvlJc w:val="left"/>
      <w:lvlText w:val="%1."/>
      <w:numFmt w:val="decimal"/>
      <w:start w:val="4"/>
    </w:lvl>
    <w:lvl w:ilvl="1">
      <w:lvlJc w:val="left"/>
      <w:lvlText w:val="%2"/>
      <w:numFmt w:val="lowerRoman"/>
      <w:start w:val="1"/>
    </w:lvl>
  </w:abstractNum>
  <w:abstractNum w:abstractNumId="64">
    <w:nsid w:val="7F01579B"/>
    <w:multiLevelType w:val="hybridMultilevel"/>
    <w:lvl w:ilvl="0">
      <w:lvlJc w:val="left"/>
      <w:lvlText w:val="%1"/>
      <w:numFmt w:val="decimal"/>
      <w:start w:val="1"/>
    </w:lvl>
    <w:lvl w:ilvl="1">
      <w:lvlJc w:val="left"/>
      <w:lvlText w:val="(%2)"/>
      <w:numFmt w:val="decimal"/>
      <w:start w:val="6"/>
    </w:lvl>
  </w:abstractNum>
  <w:abstractNum w:abstractNumId="65">
    <w:nsid w:val="49DA307D"/>
    <w:multiLevelType w:val="hybridMultilevel"/>
    <w:lvl w:ilvl="0">
      <w:lvlJc w:val="left"/>
      <w:lvlText w:val="%1."/>
      <w:numFmt w:val="decimal"/>
      <w:start w:val="5"/>
    </w:lvl>
    <w:lvl w:ilvl="1">
      <w:lvlJc w:val="left"/>
      <w:lvlText w:val="%2"/>
      <w:numFmt w:val="decimal"/>
      <w:start w:val="1"/>
    </w:lvl>
  </w:abstractNum>
  <w:abstractNum w:abstractNumId="66">
    <w:nsid w:val="7055A5F5"/>
    <w:multiLevelType w:val="hybridMultilevel"/>
    <w:lvl w:ilvl="0">
      <w:lvlJc w:val="left"/>
      <w:lvlText w:val="%1."/>
      <w:numFmt w:val="decimal"/>
      <w:start w:val="6"/>
    </w:lvl>
  </w:abstractNum>
  <w:abstractNum w:abstractNumId="67">
    <w:nsid w:val="5FB8370B"/>
    <w:multiLevelType w:val="hybridMultilevel"/>
    <w:lvl w:ilvl="0">
      <w:lvlJc w:val="left"/>
      <w:lvlText w:val="%1"/>
      <w:numFmt w:val="lowerRoman"/>
      <w:start w:val="1"/>
    </w:lvl>
    <w:lvl w:ilvl="1">
      <w:lvlJc w:val="left"/>
      <w:lvlText w:val="%2."/>
      <w:numFmt w:val="decimal"/>
      <w:start w:val="1"/>
    </w:lvl>
  </w:abstractNum>
  <w:abstractNum w:abstractNumId="68">
    <w:nsid w:val="50801EE1"/>
    <w:multiLevelType w:val="hybridMultilevel"/>
    <w:lvl w:ilvl="0">
      <w:lvlJc w:val="left"/>
      <w:lvlText w:val="(%1)"/>
      <w:numFmt w:val="lowerRoman"/>
      <w:start w:val="1"/>
    </w:lvl>
    <w:lvl w:ilvl="1">
      <w:lvlJc w:val="left"/>
      <w:lvlText w:val="%2."/>
      <w:numFmt w:val="decimal"/>
      <w:start w:val="3"/>
    </w:lvl>
  </w:abstractNum>
  <w:abstractNum w:abstractNumId="69">
    <w:nsid w:val="488AC1A"/>
    <w:multiLevelType w:val="hybridMultilevel"/>
    <w:lvl w:ilvl="0">
      <w:lvlJc w:val="left"/>
      <w:lvlText w:val="(%1)"/>
      <w:numFmt w:val="lowerLetter"/>
      <w:start w:val="1"/>
    </w:lvl>
  </w:abstractNum>
  <w:abstractNum w:abstractNumId="70">
    <w:nsid w:val="5FB8011C"/>
    <w:multiLevelType w:val="hybridMultilevel"/>
    <w:lvl w:ilvl="0">
      <w:lvlJc w:val="left"/>
      <w:lvlText w:val="(%1)"/>
      <w:numFmt w:val="lowerLetter"/>
      <w:start w:val="2"/>
    </w:lvl>
  </w:abstractNum>
  <w:abstractNum w:abstractNumId="71">
    <w:nsid w:val="6AA78F7F"/>
    <w:multiLevelType w:val="hybridMultilevel"/>
    <w:lvl w:ilvl="0">
      <w:lvlJc w:val="left"/>
      <w:lvlText w:val="%1."/>
      <w:numFmt w:val="decimal"/>
      <w:start w:val="4"/>
    </w:lvl>
  </w:abstractNum>
  <w:abstractNum w:abstractNumId="72">
    <w:nsid w:val="7672BD23"/>
    <w:multiLevelType w:val="hybridMultilevel"/>
    <w:lvl w:ilvl="0">
      <w:lvlJc w:val="left"/>
      <w:lvlText w:val="%1."/>
      <w:numFmt w:val="decimal"/>
      <w:start w:val="5"/>
    </w:lvl>
  </w:abstractNum>
  <w:abstractNum w:abstractNumId="73">
    <w:nsid w:val="6FC75AF8"/>
    <w:multiLevelType w:val="hybridMultilevel"/>
    <w:lvl w:ilvl="0">
      <w:lvlJc w:val="left"/>
      <w:lvlText w:val="(%1)"/>
      <w:numFmt w:val="lowerLetter"/>
      <w:start w:val="1"/>
    </w:lvl>
  </w:abstractNum>
  <w:abstractNum w:abstractNumId="74">
    <w:nsid w:val="6A5F7029"/>
    <w:multiLevelType w:val="hybridMultilevel"/>
    <w:lvl w:ilvl="0">
      <w:lvlJc w:val="left"/>
      <w:lvlText w:val="(%1)"/>
      <w:numFmt w:val="lowerLetter"/>
      <w:start w:val="4"/>
    </w:lvl>
  </w:abstractNum>
  <w:abstractNum w:abstractNumId="75">
    <w:nsid w:val="7D5E18F8"/>
    <w:multiLevelType w:val="hybridMultilevel"/>
    <w:lvl w:ilvl="0">
      <w:lvlJc w:val="left"/>
      <w:lvlText w:val="%1"/>
      <w:numFmt w:val="lowerRoman"/>
      <w:start w:val="1"/>
    </w:lvl>
    <w:lvl w:ilvl="1">
      <w:lvlJc w:val="left"/>
      <w:lvlText w:val="%2."/>
      <w:numFmt w:val="decimal"/>
      <w:start w:val="6"/>
    </w:lvl>
  </w:abstractNum>
  <w:abstractNum w:abstractNumId="76">
    <w:nsid w:val="5F3534A4"/>
    <w:multiLevelType w:val="hybridMultilevel"/>
    <w:lvl w:ilvl="0">
      <w:lvlJc w:val="left"/>
      <w:lvlText w:val="(%1)"/>
      <w:numFmt w:val="lowerRoman"/>
      <w:start w:val="3"/>
    </w:lvl>
    <w:lvl w:ilvl="1">
      <w:lvlJc w:val="left"/>
      <w:lvlText w:val="%2"/>
      <w:numFmt w:val="decimal"/>
      <w:start w:val="1"/>
    </w:lvl>
  </w:abstractNum>
  <w:abstractNum w:abstractNumId="77">
    <w:nsid w:val="73A1821B"/>
    <w:multiLevelType w:val="hybridMultilevel"/>
    <w:lvl w:ilvl="0">
      <w:lvlJc w:val="left"/>
      <w:lvlText w:val="(%1)"/>
      <w:numFmt w:val="lowerLetter"/>
      <w:start w:val="2"/>
    </w:lvl>
  </w:abstractNum>
  <w:abstractNum w:abstractNumId="78">
    <w:nsid w:val="7DE67713"/>
    <w:multiLevelType w:val="hybridMultilevel"/>
    <w:lvl w:ilvl="0">
      <w:lvlJc w:val="left"/>
      <w:lvlText w:val="(%1)"/>
      <w:numFmt w:val="lowerRoman"/>
      <w:start w:val="1"/>
    </w:lvl>
  </w:abstractNum>
  <w:abstractNum w:abstractNumId="79">
    <w:nsid w:val="555C55B5"/>
    <w:multiLevelType w:val="hybridMultilevel"/>
    <w:lvl w:ilvl="0">
      <w:lvlJc w:val="left"/>
      <w:lvlText w:val="(%1)"/>
      <w:numFmt w:val="lowerRoman"/>
      <w:start w:val="3"/>
    </w:lvl>
  </w:abstractNum>
  <w:abstractNum w:abstractNumId="80">
    <w:nsid w:val="3FA62ACA"/>
    <w:multiLevelType w:val="hybridMultilevel"/>
    <w:lvl w:ilvl="0">
      <w:lvlJc w:val="left"/>
      <w:lvlText w:val="(%1)"/>
      <w:numFmt w:val="lowerLetter"/>
      <w:start w:val="4"/>
    </w:lvl>
  </w:abstractNum>
  <w:abstractNum w:abstractNumId="81">
    <w:nsid w:val="14FCE74E"/>
    <w:multiLevelType w:val="hybridMultilevel"/>
    <w:lvl w:ilvl="0">
      <w:lvlJc w:val="left"/>
      <w:lvlText w:val="(%1)"/>
      <w:numFmt w:val="lowerRoman"/>
      <w:start w:val="1"/>
    </w:lvl>
  </w:abstractNum>
  <w:abstractNum w:abstractNumId="82">
    <w:nsid w:val="6A3DD3E8"/>
    <w:multiLevelType w:val="hybridMultilevel"/>
    <w:lvl w:ilvl="0">
      <w:lvlJc w:val="left"/>
      <w:lvlText w:val="(%1)"/>
      <w:numFmt w:val="lowerLetter"/>
      <w:start w:val="5"/>
    </w:lvl>
  </w:abstractNum>
  <w:abstractNum w:abstractNumId="83">
    <w:nsid w:val="71C91298"/>
    <w:multiLevelType w:val="hybridMultilevel"/>
    <w:lvl w:ilvl="0">
      <w:lvlJc w:val="left"/>
      <w:lvlText w:val="%1"/>
      <w:numFmt w:val="lowerLetter"/>
      <w:start w:val="1"/>
    </w:lvl>
    <w:lvl w:ilvl="1">
      <w:lvlJc w:val="left"/>
      <w:lvlText w:val="(%2)"/>
      <w:numFmt w:val="lowerLetter"/>
      <w:start w:val="6"/>
    </w:lvl>
  </w:abstractNum>
  <w:abstractNum w:abstractNumId="84">
    <w:nsid w:val="9DAF632"/>
    <w:multiLevelType w:val="hybridMultilevel"/>
    <w:lvl w:ilvl="0">
      <w:lvlJc w:val="left"/>
      <w:lvlText w:val="(%1)"/>
      <w:numFmt w:val="lowerLetter"/>
      <w:start w:val="25"/>
    </w:lvl>
    <w:lvl w:ilvl="1">
      <w:lvlJc w:val="left"/>
      <w:lvlText w:val="(%2)"/>
      <w:numFmt w:val="lowerLetter"/>
      <w:start w:val="7"/>
    </w:lvl>
  </w:abstractNum>
  <w:abstractNum w:abstractNumId="85">
    <w:nsid w:val="53299938"/>
    <w:multiLevelType w:val="hybridMultilevel"/>
    <w:lvl w:ilvl="0">
      <w:lvlJc w:val="left"/>
      <w:lvlText w:val="%1."/>
      <w:numFmt w:val="decimal"/>
      <w:start w:val="7"/>
    </w:lvl>
  </w:abstractNum>
  <w:abstractNum w:abstractNumId="86">
    <w:nsid w:val="1FBFE8E0"/>
    <w:multiLevelType w:val="hybridMultilevel"/>
    <w:lvl w:ilvl="0">
      <w:lvlJc w:val="left"/>
      <w:lvlText w:val="(%1)"/>
      <w:numFmt w:val="lowerLetter"/>
      <w:start w:val="2"/>
    </w:lvl>
  </w:abstractNum>
  <w:abstractNum w:abstractNumId="87">
    <w:nsid w:val="5092CA79"/>
    <w:multiLevelType w:val="hybridMultilevel"/>
    <w:lvl w:ilvl="0">
      <w:lvlJc w:val="left"/>
      <w:lvlText w:val="(%1)"/>
      <w:numFmt w:val="lowerRoman"/>
      <w:start w:val="1"/>
    </w:lvl>
  </w:abstractNum>
  <w:abstractNum w:abstractNumId="88">
    <w:nsid w:val="1D545C4D"/>
    <w:multiLevelType w:val="hybridMultilevel"/>
    <w:lvl w:ilvl="0">
      <w:lvlJc w:val="left"/>
      <w:lvlText w:val="(%1)"/>
      <w:numFmt w:val="lowerRoman"/>
      <w:start w:val="2"/>
    </w:lvl>
  </w:abstractNum>
  <w:abstractNum w:abstractNumId="89">
    <w:nsid w:val="59ADEA3D"/>
    <w:multiLevelType w:val="hybridMultilevel"/>
    <w:lvl w:ilvl="0">
      <w:lvlJc w:val="left"/>
      <w:lvlText w:val="(%1)"/>
      <w:numFmt w:val="lowerRoman"/>
      <w:start w:val="3"/>
    </w:lvl>
  </w:abstractNum>
  <w:abstractNum w:abstractNumId="90">
    <w:nsid w:val="288F1A34"/>
    <w:multiLevelType w:val="hybridMultilevel"/>
    <w:lvl w:ilvl="0">
      <w:lvlJc w:val="left"/>
      <w:lvlText w:val="(%1)"/>
      <w:numFmt w:val="lowerLetter"/>
      <w:start w:val="2"/>
    </w:lvl>
  </w:abstractNum>
  <w:abstractNum w:abstractNumId="91">
    <w:nsid w:val="2A155DBC"/>
    <w:multiLevelType w:val="hybridMultilevel"/>
    <w:lvl w:ilvl="0">
      <w:lvlJc w:val="left"/>
      <w:lvlText w:val="(%1)"/>
      <w:numFmt w:val="lowerLetter"/>
      <w:start w:val="3"/>
    </w:lvl>
  </w:abstractNum>
  <w:abstractNum w:abstractNumId="92">
    <w:nsid w:val="1D9F6E5F"/>
    <w:multiLevelType w:val="hybridMultilevel"/>
    <w:lvl w:ilvl="0">
      <w:lvlJc w:val="left"/>
      <w:lvlText w:val="(%1)"/>
      <w:numFmt w:val="lowerLetter"/>
      <w:start w:val="6"/>
    </w:lvl>
  </w:abstractNum>
  <w:abstractNum w:abstractNumId="93">
    <w:nsid w:val="97E1B4E"/>
    <w:multiLevelType w:val="hybridMultilevel"/>
    <w:lvl w:ilvl="0">
      <w:lvlJc w:val="left"/>
      <w:lvlText w:val="%1."/>
      <w:numFmt w:val="decimal"/>
      <w:start w:val="9"/>
    </w:lvl>
  </w:abstractNum>
  <w:abstractNum w:abstractNumId="94">
    <w:nsid w:val="51088277"/>
    <w:multiLevelType w:val="hybridMultilevel"/>
    <w:lvl w:ilvl="0">
      <w:lvlJc w:val="left"/>
      <w:lvlText w:val="%1."/>
      <w:numFmt w:val="decimal"/>
      <w:start w:val="11"/>
    </w:lvl>
  </w:abstractNum>
  <w:abstractNum w:abstractNumId="95">
    <w:nsid w:val="1CA0C5FA"/>
    <w:multiLevelType w:val="hybridMultilevel"/>
    <w:lvl w:ilvl="0">
      <w:lvlJc w:val="left"/>
      <w:lvlText w:val="(%1)"/>
      <w:numFmt w:val="lowerLetter"/>
      <w:start w:val="2"/>
    </w:lvl>
  </w:abstractNum>
  <w:abstractNum w:abstractNumId="96">
    <w:nsid w:val="53584BCB"/>
    <w:multiLevelType w:val="hybridMultilevel"/>
    <w:lvl w:ilvl="0">
      <w:lvlJc w:val="left"/>
      <w:lvlText w:val="(%1)"/>
      <w:numFmt w:val="lowerLetter"/>
      <w:start w:val="3"/>
    </w:lvl>
  </w:abstractNum>
  <w:abstractNum w:abstractNumId="97">
    <w:nsid w:val="415E286C"/>
    <w:multiLevelType w:val="hybridMultilevel"/>
    <w:lvl w:ilvl="0">
      <w:lvlJc w:val="left"/>
      <w:lvlText w:val="(%1)"/>
      <w:numFmt w:val="lowerLetter"/>
      <w:start w:val="7"/>
    </w:lvl>
  </w:abstractNum>
  <w:abstractNum w:abstractNumId="98">
    <w:nsid w:val="7C58FD05"/>
    <w:multiLevelType w:val="hybridMultilevel"/>
    <w:lvl w:ilvl="0">
      <w:lvlJc w:val="left"/>
      <w:lvlText w:val="(%1)"/>
      <w:numFmt w:val="lowerLetter"/>
      <w:start w:val="10"/>
    </w:lvl>
  </w:abstractNum>
  <w:abstractNum w:abstractNumId="99">
    <w:nsid w:val="23D86AAC"/>
    <w:multiLevelType w:val="hybridMultilevel"/>
    <w:lvl w:ilvl="0">
      <w:lvlJc w:val="left"/>
      <w:lvlText w:val="(%1)"/>
      <w:numFmt w:val="lowerRoman"/>
      <w:start w:val="2"/>
    </w:lvl>
  </w:abstractNum>
  <w:abstractNum w:abstractNumId="100">
    <w:nsid w:val="45E6D486"/>
    <w:multiLevelType w:val="hybridMultilevel"/>
    <w:lvl w:ilvl="0">
      <w:lvlJc w:val="left"/>
      <w:lvlText w:val="(%1)"/>
      <w:numFmt w:val="lowerRoman"/>
      <w:start w:val="5"/>
    </w:lvl>
  </w:abstractNum>
  <w:abstractNum w:abstractNumId="101">
    <w:nsid w:val="5C10FE21"/>
    <w:multiLevelType w:val="hybridMultilevel"/>
    <w:lvl w:ilvl="0">
      <w:lvlJc w:val="left"/>
      <w:lvlText w:val="(%1)"/>
      <w:numFmt w:val="lowerLetter"/>
      <w:start w:val="13"/>
    </w:lvl>
  </w:abstractNum>
  <w:abstractNum w:abstractNumId="102">
    <w:nsid w:val="E7FFA2B"/>
    <w:multiLevelType w:val="hybridMultilevel"/>
    <w:lvl w:ilvl="0">
      <w:lvlJc w:val="left"/>
      <w:lvlText w:val="(%1)"/>
      <w:numFmt w:val="lowerRoman"/>
      <w:start w:val="2"/>
    </w:lvl>
  </w:abstractNum>
  <w:abstractNum w:abstractNumId="103">
    <w:nsid w:val="3C5991AA"/>
    <w:multiLevelType w:val="hybridMultilevel"/>
    <w:lvl w:ilvl="0">
      <w:lvlJc w:val="left"/>
      <w:lvlText w:val="(%1)"/>
      <w:numFmt w:val="lowerRoman"/>
      <w:start w:val="4"/>
    </w:lvl>
  </w:abstractNum>
  <w:abstractNum w:abstractNumId="104">
    <w:nsid w:val="4BD8591A"/>
    <w:multiLevelType w:val="hybridMultilevel"/>
    <w:lvl w:ilvl="0">
      <w:lvlJc w:val="left"/>
      <w:lvlText w:val="(%1)"/>
      <w:numFmt w:val="lowerLetter"/>
      <w:start w:val="14"/>
    </w:lvl>
  </w:abstractNum>
  <w:abstractNum w:abstractNumId="105">
    <w:nsid w:val="78DF6A55"/>
    <w:multiLevelType w:val="hybridMultilevel"/>
    <w:lvl w:ilvl="0">
      <w:lvlJc w:val="left"/>
      <w:lvlText w:val="(%1)"/>
      <w:numFmt w:val="lowerRoman"/>
      <w:start w:val="1"/>
    </w:lvl>
  </w:abstractNum>
  <w:abstractNum w:abstractNumId="106">
    <w:nsid w:val="39B7AAA2"/>
    <w:multiLevelType w:val="hybridMultilevel"/>
    <w:lvl w:ilvl="0">
      <w:lvlJc w:val="left"/>
      <w:lvlText w:val="(%1)"/>
      <w:numFmt w:val="lowerRoman"/>
      <w:start w:val="3"/>
    </w:lvl>
  </w:abstractNum>
  <w:abstractNum w:abstractNumId="107">
    <w:nsid w:val="2B0D8DBE"/>
    <w:multiLevelType w:val="hybridMultilevel"/>
    <w:lvl w:ilvl="0">
      <w:lvlJc w:val="left"/>
      <w:lvlText w:val="(%1)"/>
      <w:numFmt w:val="lowerLetter"/>
      <w:start w:val="1"/>
    </w:lvl>
  </w:abstractNum>
  <w:abstractNum w:abstractNumId="108">
    <w:nsid w:val="6C80EC70"/>
    <w:multiLevelType w:val="hybridMultilevel"/>
    <w:lvl w:ilvl="0">
      <w:lvlJc w:val="left"/>
      <w:lvlText w:val="(%1)"/>
      <w:numFmt w:val="lowerRoman"/>
      <w:start w:val="1"/>
    </w:lvl>
  </w:abstractNum>
  <w:abstractNum w:abstractNumId="109">
    <w:nsid w:val="379E21B5"/>
    <w:multiLevelType w:val="hybridMultilevel"/>
    <w:lvl w:ilvl="0">
      <w:lvlJc w:val="left"/>
      <w:lvlText w:val="(%1)"/>
      <w:numFmt w:val="lowerLetter"/>
      <w:start w:val="4"/>
    </w:lvl>
  </w:abstractNum>
  <w:abstractNum w:abstractNumId="110">
    <w:nsid w:val="69E373"/>
    <w:multiLevelType w:val="hybridMultilevel"/>
    <w:lvl w:ilvl="0">
      <w:lvlJc w:val="left"/>
      <w:lvlText w:val="(%1)"/>
      <w:numFmt w:val="lowerLetter"/>
      <w:start w:val="2"/>
    </w:lvl>
  </w:abstractNum>
  <w:abstractNum w:abstractNumId="111">
    <w:nsid w:val="2C27173B"/>
    <w:multiLevelType w:val="hybridMultilevel"/>
    <w:lvl w:ilvl="0">
      <w:lvlJc w:val="left"/>
      <w:lvlText w:val="(%1)"/>
      <w:numFmt w:val="upperLetter"/>
      <w:start w:val="1"/>
    </w:lvl>
  </w:abstractNum>
  <w:abstractNum w:abstractNumId="112">
    <w:nsid w:val="4C9B0904"/>
    <w:multiLevelType w:val="hybridMultilevel"/>
    <w:lvl w:ilvl="0">
      <w:lvlJc w:val="left"/>
      <w:lvlText w:val="(%1)"/>
      <w:numFmt w:val="lowerLetter"/>
      <w:start w:val="2"/>
    </w:lvl>
  </w:abstractNum>
  <w:abstractNum w:abstractNumId="113">
    <w:nsid w:val="6AA7B75C"/>
    <w:multiLevelType w:val="hybridMultilevel"/>
    <w:lvl w:ilvl="0">
      <w:lvlJc w:val="left"/>
      <w:lvlText w:val="(%1)"/>
      <w:numFmt w:val="lowerLetter"/>
      <w:start w:val="2"/>
    </w:lvl>
  </w:abstractNum>
  <w:abstractNum w:abstractNumId="114">
    <w:nsid w:val="1DF029D3"/>
    <w:multiLevelType w:val="hybridMultilevel"/>
    <w:lvl w:ilvl="0">
      <w:lvlJc w:val="left"/>
      <w:lvlText w:val="1"/>
      <w:numFmt w:val="bullet"/>
      <w:start w:val="1"/>
    </w:lvl>
  </w:abstractNum>
  <w:abstractNum w:abstractNumId="115">
    <w:nsid w:val="5675FF36"/>
    <w:multiLevelType w:val="hybridMultilevel"/>
    <w:lvl w:ilvl="0">
      <w:lvlJc w:val="left"/>
      <w:lvlText w:val="(%1)"/>
      <w:numFmt w:val="lowerRoman"/>
      <w:start w:val="4"/>
    </w:lvl>
  </w:abstractNum>
  <w:abstractNum w:abstractNumId="116">
    <w:nsid w:val="3DD15094"/>
    <w:multiLevelType w:val="hybridMultilevel"/>
    <w:lvl w:ilvl="0">
      <w:lvlJc w:val="left"/>
      <w:lvlText w:val="(%1)"/>
      <w:numFmt w:val="lowerLetter"/>
      <w:start w:val="1"/>
    </w:lvl>
  </w:abstractNum>
  <w:abstractNum w:abstractNumId="117">
    <w:nsid w:val="3DB012B3"/>
    <w:multiLevelType w:val="hybridMultilevel"/>
    <w:lvl w:ilvl="0">
      <w:lvlJc w:val="left"/>
      <w:lvlText w:val="(%1)"/>
      <w:numFmt w:val="lowerLetter"/>
      <w:start w:val="2"/>
    </w:lvl>
    <w:lvl w:ilvl="1">
      <w:lvlJc w:val="left"/>
      <w:lvlText w:val="(%2)"/>
      <w:numFmt w:val="lowerRoman"/>
      <w:start w:val="1"/>
    </w:lvl>
  </w:abstractNum>
  <w:abstractNum w:abstractNumId="118">
    <w:nsid w:val="2708C9AF"/>
    <w:multiLevelType w:val="hybridMultilevel"/>
    <w:lvl w:ilvl="0">
      <w:lvlJc w:val="left"/>
      <w:lvlText w:val="(%1)"/>
      <w:numFmt w:val="lowerLetter"/>
      <w:start w:val="1"/>
    </w:lvl>
  </w:abstractNum>
  <w:abstractNum w:abstractNumId="119">
    <w:nsid w:val="5B25ACE2"/>
    <w:multiLevelType w:val="hybridMultilevel"/>
    <w:lvl w:ilvl="0">
      <w:lvlJc w:val="left"/>
      <w:lvlText w:val="(%1)"/>
      <w:numFmt w:val="lowerLetter"/>
      <w:start w:val="3"/>
    </w:lvl>
  </w:abstractNum>
  <w:abstractNum w:abstractNumId="120">
    <w:nsid w:val="175DFCF0"/>
    <w:multiLevelType w:val="hybridMultilevel"/>
    <w:lvl w:ilvl="0">
      <w:lvlJc w:val="left"/>
      <w:lvlText w:val="(%1)"/>
      <w:numFmt w:val="lowerLetter"/>
      <w:start w:val="1"/>
    </w:lvl>
  </w:abstractNum>
  <w:abstractNum w:abstractNumId="121">
    <w:nsid w:val="4F97E3E4"/>
    <w:multiLevelType w:val="hybridMultilevel"/>
    <w:lvl w:ilvl="0">
      <w:lvlJc w:val="left"/>
      <w:lvlText w:val="(%1)"/>
      <w:numFmt w:val="lowerLetter"/>
      <w:start w:val="1"/>
    </w:lvl>
  </w:abstractNum>
  <w:abstractNum w:abstractNumId="122">
    <w:nsid w:val="53B0A9E"/>
    <w:multiLevelType w:val="hybridMultilevel"/>
    <w:lvl w:ilvl="0">
      <w:lvlJc w:val="left"/>
      <w:lvlText w:val="2"/>
      <w:numFmt w:val="bullet"/>
      <w:start w:val="1"/>
    </w:lvl>
  </w:abstractNum>
  <w:abstractNum w:abstractNumId="123">
    <w:nsid w:val="34FD6B4F"/>
    <w:multiLevelType w:val="hybridMultilevel"/>
    <w:lvl w:ilvl="0">
      <w:lvlJc w:val="left"/>
      <w:lvlText w:val="%1."/>
      <w:numFmt w:val="decimal"/>
      <w:start w:val="1"/>
    </w:lvl>
    <w:lvl w:ilvl="1">
      <w:lvlJc w:val="left"/>
      <w:lvlText w:val="(%2)"/>
      <w:numFmt w:val="lowerLetter"/>
      <w:start w:val="1"/>
    </w:lvl>
  </w:abstractNum>
  <w:abstractNum w:abstractNumId="124">
    <w:nsid w:val="5915FF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2020-05-05T15:31:34Z</dcterms:created>
  <dcterms:modified xsi:type="dcterms:W3CDTF">2020-05-05T15:31:34Z</dcterms:modified>
</cp:coreProperties>
</file>