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6097d3_8k.htm"/>
      <w:bookmarkStart w:id="1" w:name="kstm2616097d3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9_edei--DocumentType_c20260724__20"/>
      <w:bookmarkEnd w:id="2"/>
      <w:r>
        <w:rPr>
          <w:rFonts w:ascii="Times New Roman;Times;Serif" w:hAnsi="Times New Roman;Times;Serif"/>
          <w:b/>
          <w:i w:val="false"/>
          <w:caps w:val="false"/>
          <w:smallCaps w:val="false"/>
          <w:sz w:val="36"/>
        </w:rPr>
        <w:t>8-K</w:t>
      </w:r>
    </w:p>
    <w:p>
      <w:pPr>
        <w:pStyle w:val="TextBody"/>
        <w:bidi w:val="0"/>
        <w:spacing w:before="0" w:after="0"/>
        <w:jc w:val="center"/>
        <w:rPr/>
      </w:pPr>
      <w:r>
        <w:rPr/>
        <w:t> </w:t>
      </w:r>
    </w:p>
    <w:p>
      <w:pPr>
        <w:pStyle w:val="TextBody"/>
        <w:bidi w:val="0"/>
        <w:spacing w:before="0" w:after="0"/>
        <w:jc w:val="center"/>
        <w:rPr>
          <w:b/>
          <w:sz w:val="20"/>
        </w:rPr>
      </w:pPr>
      <w:r>
        <w:rPr>
          <w:b/>
          <w:sz w:val="20"/>
        </w:rPr>
        <w:t>CURRENT REPORT</w:t>
        <w:br/>
        <w:t>Pursuant to Section 13 or 15(d) of the</w:t>
        <w:br/>
        <w:t>Securities Exchange Act of 1934</w:t>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July 24, 2026</w:t>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i w:val="false"/>
          <w:caps w:val="false"/>
          <w:smallCaps w:val="false"/>
          <w:sz w:val="48"/>
        </w:rPr>
      </w:pPr>
      <w:bookmarkStart w:id="4" w:name="xdx_904_edei--EntityRegistrantName_c2026"/>
      <w:bookmarkEnd w:id="4"/>
      <w:r>
        <w:rPr>
          <w:rFonts w:ascii="Times New Roman;Times;Serif" w:hAnsi="Times New Roman;Times;Serif"/>
          <w:b/>
          <w:i w:val="false"/>
          <w:caps w:val="false"/>
          <w:smallCaps w:val="false"/>
          <w:sz w:val="48"/>
        </w:rPr>
        <w:t>XPO,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r>
        <w:rPr>
          <w:rFonts w:ascii="Times New Roman;Times;Serif" w:hAnsi="Times New Roman;Times;Serif"/>
          <w:b w:val="false"/>
          <w:i w:val="false"/>
          <w:caps w:val="false"/>
          <w:smallCaps w:val="false"/>
          <w:sz w:val="20"/>
        </w:rPr>
        <w:t> </w:t>
      </w:r>
    </w:p>
    <w:p>
      <w:pPr>
        <w:pStyle w:val="TextBody"/>
        <w:bidi w:val="0"/>
        <w:spacing w:before="0" w:after="0"/>
        <w:jc w:val="center"/>
        <w:rPr>
          <w:caps w:val="false"/>
          <w:smallCaps w:val="false"/>
        </w:rPr>
      </w:pPr>
      <w:r>
        <w:rPr>
          <w:caps w:val="false"/>
          <w:smallCaps w:val="false"/>
        </w:rPr>
        <w:t> </w:t>
      </w:r>
    </w:p>
    <w:tbl>
      <w:tblPr>
        <w:tblW w:w="6555" w:type="dxa"/>
        <w:jc w:val="left"/>
        <w:tblInd w:w="0" w:type="dxa"/>
        <w:tblLayout w:type="fixed"/>
        <w:tblCellMar>
          <w:top w:w="0" w:type="dxa"/>
          <w:left w:w="0" w:type="dxa"/>
          <w:bottom w:w="0" w:type="dxa"/>
          <w:right w:w="0" w:type="dxa"/>
        </w:tblCellMar>
      </w:tblPr>
      <w:tblGrid>
        <w:gridCol w:w="2525"/>
        <w:gridCol w:w="60"/>
        <w:gridCol w:w="2345"/>
        <w:gridCol w:w="60"/>
        <w:gridCol w:w="1565"/>
      </w:tblGrid>
      <w:tr>
        <w:trPr/>
        <w:tc>
          <w:tcPr>
            <w:tcW w:w="2525" w:type="dxa"/>
            <w:tcBorders/>
            <w:vAlign w:val="center"/>
          </w:tcPr>
          <w:p>
            <w:pPr>
              <w:pStyle w:val="TableContents"/>
              <w:bidi w:val="0"/>
              <w:spacing w:before="0" w:after="283"/>
              <w:jc w:val="center"/>
              <w:rPr/>
            </w:pPr>
            <w:bookmarkStart w:id="5" w:name="xdx_900_edei--EntityIncorporationStateCo"/>
            <w:bookmarkEnd w:id="5"/>
            <w:r>
              <w:rPr>
                <w:b/>
              </w:rPr>
              <w:t>Delaware</w:t>
            </w:r>
            <w:r>
              <w:rPr/>
              <w:t> </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center"/>
              <w:rPr/>
            </w:pPr>
            <w:bookmarkStart w:id="6" w:name="xdx_90E_edei--EntityFileNumber_c20260724"/>
            <w:bookmarkEnd w:id="6"/>
            <w:r>
              <w:rPr>
                <w:b/>
              </w:rPr>
              <w:t>001-32172</w:t>
            </w:r>
            <w:r>
              <w:rPr/>
              <w:t> </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bookmarkStart w:id="7" w:name="xdx_90B_edei--EntityTaxIdentificationNum"/>
            <w:bookmarkEnd w:id="7"/>
            <w:r>
              <w:rPr>
                <w:rFonts w:ascii="Times New Roman;Times;Serif" w:hAnsi="Times New Roman;Times;Serif"/>
                <w:b/>
                <w:sz w:val="20"/>
              </w:rPr>
              <w:t>03-0450326</w:t>
            </w:r>
          </w:p>
        </w:tc>
      </w:tr>
      <w:tr>
        <w:trPr/>
        <w:tc>
          <w:tcPr>
            <w:tcW w:w="25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 xml:space="preserve">(State or other jurisdiction of </w:t>
              <w:br/>
              <w:t>incorporation)</w:t>
            </w:r>
            <w:r>
              <w:rPr>
                <w:rFonts w:ascii="Times New Roman;Times;Serif" w:hAnsi="Times New Roman;Times;Serif"/>
                <w:sz w:val="20"/>
              </w:rPr>
              <w:t> </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(Commission File Number)</w:t>
            </w:r>
            <w:r>
              <w:rPr>
                <w:rFonts w:ascii="Times New Roman;Times;Serif" w:hAnsi="Times New Roman;Times;Serif"/>
                <w:sz w:val="20"/>
              </w:rPr>
              <w:t> </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(I.R.S. Employer </w:t>
              <w:br/>
              <w:t>Identification No.)</w:t>
            </w:r>
          </w:p>
        </w:tc>
      </w:tr>
    </w:tbl>
    <w:p>
      <w:pPr>
        <w:pStyle w:val="TextBody"/>
        <w:bidi w:val="0"/>
        <w:spacing w:before="0" w:after="0"/>
        <w:jc w:val="center"/>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 xml:space="preserve">Five American Lane, </w:t>
      </w:r>
      <w:bookmarkStart w:id="9" w:name="xdx_90E_edei--EntityAddressCityOrTown_c2"/>
      <w:bookmarkEnd w:id="9"/>
      <w:r>
        <w:rPr>
          <w:rFonts w:ascii="Times New Roman;Times;Serif" w:hAnsi="Times New Roman;Times;Serif"/>
          <w:b/>
          <w:i w:val="false"/>
          <w:caps w:val="false"/>
          <w:smallCaps w:val="false"/>
          <w:sz w:val="20"/>
        </w:rPr>
        <w:t xml:space="preserve">Greenwich, </w:t>
      </w:r>
      <w:bookmarkStart w:id="10" w:name="xdx_907_edei--EntityAddressStateOrProvin"/>
      <w:bookmarkEnd w:id="10"/>
      <w:r>
        <w:rPr>
          <w:rFonts w:ascii="Times New Roman;Times;Serif" w:hAnsi="Times New Roman;Times;Serif"/>
          <w:b/>
          <w:i w:val="false"/>
          <w:caps w:val="false"/>
          <w:smallCaps w:val="false"/>
          <w:sz w:val="20"/>
        </w:rPr>
        <w:t>Connecticut</w:t>
      </w:r>
      <w:r>
        <w:rPr>
          <w:rFonts w:ascii="Times New Roman;Times;Serif" w:hAnsi="Times New Roman;Times;Serif"/>
          <w:b w:val="false"/>
          <w:i w:val="false"/>
          <w:caps w:val="false"/>
          <w:smallCaps w:val="false"/>
          <w:sz w:val="20"/>
        </w:rPr>
        <w:t xml:space="preserve"> </w:t>
      </w:r>
      <w:bookmarkStart w:id="11" w:name="xdx_908_edei--EntityAddressPostalZipCode"/>
      <w:bookmarkEnd w:id="11"/>
      <w:r>
        <w:rPr>
          <w:rFonts w:ascii="Times New Roman;Times;Serif" w:hAnsi="Times New Roman;Times;Serif"/>
          <w:b/>
          <w:i w:val="false"/>
          <w:caps w:val="false"/>
          <w:smallCaps w:val="false"/>
          <w:sz w:val="20"/>
        </w:rPr>
        <w:t>06831</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(Address of principal executive offices)(Zip Code)</w:t>
      </w:r>
    </w:p>
    <w:p>
      <w:pPr>
        <w:pStyle w:val="TextBody"/>
        <w:bidi w:val="0"/>
        <w:spacing w:before="0" w:after="0"/>
        <w:jc w:val="center"/>
        <w:rPr/>
      </w:pPr>
      <w:r>
        <w:rPr/>
        <w:t> </w:t>
      </w:r>
    </w:p>
    <w:p>
      <w:pPr>
        <w:pStyle w:val="TextBody"/>
        <w:bidi w:val="0"/>
        <w:spacing w:before="0" w:after="0"/>
        <w:jc w:val="center"/>
        <w:rPr>
          <w:sz w:val="20"/>
        </w:rPr>
      </w:pPr>
      <w:r>
        <w:rPr>
          <w:b/>
          <w:sz w:val="20"/>
        </w:rPr>
        <w:t>(</w:t>
      </w:r>
      <w:bookmarkStart w:id="12" w:name="xdx_907_edei--CityAreaCode_c20260724__20"/>
      <w:bookmarkEnd w:id="12"/>
      <w:r>
        <w:rPr>
          <w:b/>
          <w:sz w:val="20"/>
        </w:rPr>
        <w:t xml:space="preserve">855) </w:t>
      </w:r>
      <w:bookmarkStart w:id="13" w:name="xdx_90D_edei--LocalPhoneNumber_c20260724"/>
      <w:bookmarkEnd w:id="13"/>
      <w:r>
        <w:rPr>
          <w:b/>
          <w:sz w:val="20"/>
        </w:rPr>
        <w:t>976-6951</w:t>
      </w:r>
    </w:p>
    <w:p>
      <w:pPr>
        <w:pStyle w:val="TextBody"/>
        <w:bidi w:val="0"/>
        <w:spacing w:before="0" w:after="0"/>
        <w:jc w:val="center"/>
        <w:rPr>
          <w:sz w:val="20"/>
        </w:rPr>
      </w:pPr>
      <w:r>
        <w:rPr>
          <w:sz w:val="20"/>
        </w:rPr>
        <w:t>(</w:t>
      </w:r>
      <w:r>
        <w:rPr>
          <w:b/>
          <w:sz w:val="20"/>
        </w:rPr>
        <w:t>Registrant’s telephone number, including area code)</w:t>
      </w:r>
    </w:p>
    <w:p>
      <w:pPr>
        <w:pStyle w:val="TextBody"/>
        <w:bidi w:val="0"/>
        <w:spacing w:before="0" w:after="0"/>
        <w:jc w:val="center"/>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1_edei--WrittenCommunications_c202"/>
            <w:bookmarkEnd w:id="14"/>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5" w:name="xdx_90A_edei--SolicitingMaterial_c202607"/>
            <w:bookmarkEnd w:id="15"/>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6" w:name="xdx_909_edei--PreCommencementTenderOffer"/>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7" w:name="xdx_905_edei--PreCommencementIssuerTende"/>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jc w:val="center"/>
        <w:rPr/>
      </w:pPr>
      <w:r>
        <w:rPr/>
        <w:t> </w:t>
      </w:r>
    </w:p>
    <w:tbl>
      <w:tblPr>
        <w:tblW w:w="8880" w:type="dxa"/>
        <w:jc w:val="left"/>
        <w:tblInd w:w="0" w:type="dxa"/>
        <w:tblLayout w:type="fixed"/>
        <w:tblCellMar>
          <w:top w:w="0" w:type="dxa"/>
          <w:left w:w="0" w:type="dxa"/>
          <w:bottom w:w="0" w:type="dxa"/>
          <w:right w:w="0" w:type="dxa"/>
        </w:tblCellMar>
      </w:tblPr>
      <w:tblGrid>
        <w:gridCol w:w="3485"/>
        <w:gridCol w:w="60"/>
        <w:gridCol w:w="1565"/>
        <w:gridCol w:w="60"/>
        <w:gridCol w:w="3710"/>
      </w:tblGrid>
      <w:tr>
        <w:trPr/>
        <w:tc>
          <w:tcPr>
            <w:tcW w:w="3485"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Title of each class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Trading symbol(s)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71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Name of each exchange on which registered</w:t>
            </w:r>
          </w:p>
        </w:tc>
      </w:tr>
      <w:tr>
        <w:trPr/>
        <w:tc>
          <w:tcPr>
            <w:tcW w:w="34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F_edei--Security12bTitle_c20260724"/>
            <w:bookmarkEnd w:id="18"/>
            <w:r>
              <w:rPr>
                <w:rFonts w:ascii="Times New Roman;Times;Serif" w:hAnsi="Times New Roman;Times;Serif"/>
                <w:b w:val="false"/>
                <w:i w:val="false"/>
                <w:caps w:val="false"/>
                <w:smallCaps w:val="false"/>
                <w:sz w:val="20"/>
              </w:rPr>
              <w:t>Common stock, par value $0.001 per share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0_edei--TradingSymbol_c20260724__2"/>
            <w:bookmarkEnd w:id="19"/>
            <w:r>
              <w:rPr>
                <w:rFonts w:ascii="Times New Roman;Times;Serif" w:hAnsi="Times New Roman;Times;Serif"/>
                <w:b w:val="false"/>
                <w:i w:val="false"/>
                <w:caps w:val="false"/>
                <w:smallCaps w:val="false"/>
                <w:sz w:val="20"/>
              </w:rPr>
              <w:t>XPO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B_edei--SecurityExchangeName_c2026"/>
            <w:bookmarkEnd w:id="20"/>
            <w:r>
              <w:rPr>
                <w:rFonts w:ascii="Times New Roman;Times;Serif" w:hAnsi="Times New Roman;Times;Serif"/>
                <w:b w:val="false"/>
                <w:i w:val="false"/>
                <w:caps w:val="false"/>
                <w:smallCaps w:val="false"/>
                <w:sz w:val="20"/>
              </w:rPr>
              <w:t>New York Stock Exchange</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tc>
      </w:tr>
      <w:tr>
        <w:trPr/>
        <w:tc>
          <w:tcPr>
            <w:tcW w:w="10205" w:type="dxa"/>
            <w:tcBorders/>
            <w:vAlign w:val="center"/>
          </w:tcPr>
          <w:p>
            <w:pPr>
              <w:pStyle w:val="TableContents"/>
              <w:bidi w:val="0"/>
              <w:spacing w:before="0" w:after="283"/>
              <w:jc w:val="left"/>
              <w:rPr/>
            </w:pPr>
            <w:r>
              <w:rPr/>
              <w:t> </w:t>
            </w:r>
          </w:p>
        </w:tc>
      </w:tr>
      <w:tr>
        <w:trPr/>
        <w:tc>
          <w:tcPr>
            <w:tcW w:w="10205" w:type="dxa"/>
            <w:tcBorders/>
            <w:vAlign w:val="center"/>
          </w:tcPr>
          <w:p>
            <w:pPr>
              <w:pStyle w:val="TableContents"/>
              <w:bidi w:val="0"/>
              <w:spacing w:before="0" w:after="283"/>
              <w:jc w:val="left"/>
              <w:rPr/>
            </w:pPr>
            <w:r>
              <w:rPr>
                <w:rFonts w:ascii="Times New Roman;Times;Serif" w:hAnsi="Times New Roman;Times;Serif"/>
                <w:sz w:val="20"/>
              </w:rPr>
              <w:t xml:space="preserve">Emerging growth company </w:t>
            </w:r>
            <w:bookmarkStart w:id="21" w:name="xdx_908_edei--EntityEmergingGrowthCompan"/>
            <w:bookmarkEnd w:id="21"/>
            <w:r>
              <w:rPr/>
              <w:t>☐</w:t>
            </w:r>
          </w:p>
        </w:tc>
      </w:tr>
      <w:tr>
        <w:trPr/>
        <w:tc>
          <w:tcPr>
            <w:tcW w:w="10205" w:type="dxa"/>
            <w:tcBorders/>
            <w:vAlign w:val="center"/>
          </w:tcPr>
          <w:p>
            <w:pPr>
              <w:pStyle w:val="TableContents"/>
              <w:bidi w:val="0"/>
              <w:spacing w:before="0" w:after="283"/>
              <w:jc w:val="left"/>
              <w:rPr/>
            </w:pPr>
            <w:r>
              <w:rPr/>
              <w:t> </w:t>
            </w:r>
          </w:p>
        </w:tc>
      </w:tr>
      <w:tr>
        <w:trPr/>
        <w:tc>
          <w:tcPr>
            <w:tcW w:w="10205" w:type="dxa"/>
            <w:tcBorders/>
            <w:vAlign w:val="center"/>
          </w:tcPr>
          <w:p>
            <w:pPr>
              <w:pStyle w:val="TableContents"/>
              <w:bidi w:val="0"/>
              <w:spacing w:before="0" w:after="283"/>
              <w:jc w:val="left"/>
              <w:rPr/>
            </w:pPr>
            <w:r>
              <w:rPr>
                <w:rFonts w:ascii="Times New Roman;Times;Serif" w:hAnsi="Times New Roman;Times;Seri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t>☐</w:t>
            </w:r>
          </w:p>
        </w:tc>
      </w:tr>
    </w:tbl>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24, 2026, the Board of Directors (the “Board”) of XPO, Inc. (the “Company”) appointed Mr. Michael Kneeland as a member of the Board, effective July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Kneeland is non-executive chairman of United Rentals, the world’s largest equipment rental company. He joined United Rentals in 1998 and subsequently led the company as chief executive officer from 2007 to 2019, including 10 concurrent years as president. He became chairman upon his retirement in 2019. He has also served as a director of GXO Logistics, Inc. since 2025, and non-executive chair of the board of directors of Gildan Activewear Inc. since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Company’s bylaws, Mr. Kneeland will serve as a director for an initial term until the Company’s 2027 annual meeting of stockholders or until his successor shall have been duly elected and qualified or until his earlier resignation, retirement, death, disqualification or removal from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non-employee director, Mr. Kneeland will be entitled to receive an annual cash retainer (currently $80,000) and an annual restricted stock unit (“RSU”) grant (currently $190,000 in value), which is granted on the first business day of each calendar year and vests on the first business day of the next calendar year. The number of RSUs granted is determined by dividing $190,000 by the average of the closing price of the Company’s common stock on the ten trading days immediately preceding the grant date. On July 27, 2026, Mr. Kneeland received a prorated grant of 388 RSUs that will vest on January 4, 2027, subject to his continued service as a director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beginning of the last fiscal year, there have been no related party transactions between the Company and Mr. Kneeland that would be reportable under Item 404(a) of Regulation S-K. There are no arrangements or understandings between Mr. Kneeland and any other persons pursuant to which Mr. Kneeland was selected as a director, and Mr. Kneeland has no family relationships with any of the Company’s directors or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27, 2026, the Company issued a press release announcing the appointment of Mr. Kneeland to the Board. The press release is attached as Exhibit 99.1 hereto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Financial Statements and Exhibits.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bidi w:val="0"/>
        <w:spacing w:before="0" w:after="283"/>
        <w:jc w:val="left"/>
        <w:rPr/>
      </w:pPr>
      <w:r>
        <w:rPr/>
        <w:t> </w:t>
      </w:r>
    </w:p>
    <w:tbl>
      <w:tblPr>
        <w:tblW w:w="7525" w:type="dxa"/>
        <w:jc w:val="left"/>
        <w:tblInd w:w="0" w:type="dxa"/>
        <w:tblLayout w:type="fixed"/>
        <w:tblCellMar>
          <w:top w:w="0" w:type="dxa"/>
          <w:left w:w="0" w:type="dxa"/>
          <w:bottom w:w="28" w:type="dxa"/>
          <w:right w:w="0" w:type="dxa"/>
        </w:tblCellMar>
      </w:tblPr>
      <w:tblGrid>
        <w:gridCol w:w="980"/>
        <w:gridCol w:w="60"/>
        <w:gridCol w:w="6485"/>
      </w:tblGrid>
      <w:tr>
        <w:trPr/>
        <w:tc>
          <w:tcPr>
            <w:tcW w:w="98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Description</w:t>
            </w:r>
          </w:p>
        </w:tc>
      </w:tr>
      <w:tr>
        <w:trPr/>
        <w:tc>
          <w:tcPr>
            <w:tcW w:w="980" w:type="dxa"/>
            <w:tcBorders/>
            <w:tcMar>
              <w:bottom w:w="0" w:type="dxa"/>
            </w:tcMar>
            <w:vAlign w:val="center"/>
          </w:tcPr>
          <w:p>
            <w:pPr>
              <w:pStyle w:val="TableContents"/>
              <w:bidi w:val="0"/>
              <w:spacing w:before="0" w:after="283"/>
              <w:jc w:val="center"/>
              <w:rPr/>
            </w:pPr>
            <w:hyperlink w:anchor="tm2616097d3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pPr>
            <w:hyperlink w:anchor="tm2616097d3_ex99-1.htm">
              <w:r>
                <w:rPr>
                  <w:rStyle w:val="InternetLink"/>
                  <w:rFonts w:ascii="Times New Roman;Times;Serif" w:hAnsi="Times New Roman;Times;Serif"/>
                  <w:sz w:val="20"/>
                </w:rPr>
                <w:t>Press Release, dated July 27, 2026, issued by XPO, Inc.</w:t>
              </w:r>
            </w:hyperlink>
          </w:p>
        </w:tc>
      </w:tr>
      <w:tr>
        <w:trPr/>
        <w:tc>
          <w:tcPr>
            <w:tcW w:w="9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840" w:type="dxa"/>
        <w:jc w:val="left"/>
        <w:tblInd w:w="0" w:type="dxa"/>
        <w:tblLayout w:type="fixed"/>
        <w:tblCellMar>
          <w:top w:w="0" w:type="dxa"/>
          <w:left w:w="0" w:type="dxa"/>
          <w:bottom w:w="0" w:type="dxa"/>
          <w:right w:w="0" w:type="dxa"/>
        </w:tblCellMar>
      </w:tblPr>
      <w:tblGrid>
        <w:gridCol w:w="1625"/>
        <w:gridCol w:w="320"/>
        <w:gridCol w:w="1895"/>
      </w:tblGrid>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27, 2026</w:t>
            </w:r>
          </w:p>
        </w:tc>
        <w:tc>
          <w:tcPr>
            <w:tcW w:w="221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XPO, INC.</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Kyle Wismans</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Kyle Wismans</w:t>
            </w:r>
          </w:p>
        </w:tc>
      </w:tr>
      <w:tr>
        <w:trPr/>
        <w:tc>
          <w:tcPr>
            <w:tcW w:w="16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2" w:name="tm2616097d3_ex99-1.htm"/>
      <w:bookmarkStart w:id="23" w:name="kstm2616097d3_ex991"/>
      <w:bookmarkEnd w:id="22"/>
      <w:bookmarkEnd w:id="23"/>
      <w:r>
        <w:rPr>
          <w:b/>
        </w:rPr>
        <w:t>Exhibit 99.1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XPO Appoints Michael Kneeland to Board of Directors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GREENWICH, Conn., July 27, 2026</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val="false"/>
          <w:caps w:val="false"/>
          <w:smallCaps w:val="false"/>
          <w:sz w:val="20"/>
          <w:u w:val="single"/>
        </w:rPr>
        <w:t>XPO</w:t>
      </w:r>
      <w:r>
        <w:rPr>
          <w:rFonts w:ascii="Times New Roman;Times;Serif" w:hAnsi="Times New Roman;Times;Serif"/>
          <w:b w:val="false"/>
          <w:i w:val="false"/>
          <w:caps w:val="false"/>
          <w:smallCaps w:val="false"/>
          <w:sz w:val="20"/>
        </w:rPr>
        <w:t xml:space="preserve"> (NYSE: XPO), a leading provider of freight transportation in North America, today announced that Michael Kneeland has joined the company’s board of directors, effectively immediately. The appointment expands XPO’s board to eight members, seven of whom are independent.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Mario Harik, chairman and chief executive officer of XPO, said, “Michael is an outstanding addition to our board. Throughout his career, he and his teams have created more than $60 billion in shareholder value through operational excellence, disciplined capital allocation and strategic governance. His expertise is strongly aligned with XPO’s commitment to delivering outsized returns for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Kneeland is non-executive chairman of United Rentals, the world’s largest equipment rental company. He additionally serves as chairman of Gildan Activewear, and as a director of XPO spin-off GXO Logistics. Kneeland joined United Rentals in 1998 and subsequently led the company as chief executive officer from 2007 to 2019, including 10 concurrent years as president. He became chairman upon his retirement in 2019.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additional information on XPO’s board of directors and senior management team, visit the </w:t>
      </w:r>
      <w:r>
        <w:rPr>
          <w:rFonts w:ascii="Times New Roman;Times;Serif" w:hAnsi="Times New Roman;Times;Serif"/>
          <w:b w:val="false"/>
          <w:i w:val="false"/>
          <w:caps w:val="false"/>
          <w:smallCaps w:val="false"/>
          <w:sz w:val="20"/>
          <w:u w:val="single"/>
        </w:rPr>
        <w:t>Leadership section</w:t>
      </w:r>
      <w:r>
        <w:rPr>
          <w:rFonts w:ascii="Times New Roman;Times;Serif" w:hAnsi="Times New Roman;Times;Serif"/>
          <w:b w:val="false"/>
          <w:i w:val="false"/>
          <w:caps w:val="false"/>
          <w:smallCaps w:val="false"/>
          <w:sz w:val="20"/>
        </w:rPr>
        <w:t xml:space="preserve"> of the company’s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XPO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XPO, Inc. (NYSE: XPO) is a leader in asset-based less-than-truckload (LTL) freight transportation in North America. The company’s customer-focused organization efficiently moves 16 billion pounds of freight per year, enabled by its proprietary technology. XPO serves 55,000 customers with 594 locations and 37,000 employees in North America and Europe, and is headquartered in Greenwich, Conn., USA. Visit </w:t>
      </w:r>
      <w:r>
        <w:rPr>
          <w:rFonts w:ascii="Times New Roman;Times;Serif" w:hAnsi="Times New Roman;Times;Serif"/>
          <w:b w:val="false"/>
          <w:i w:val="false"/>
          <w:caps w:val="false"/>
          <w:smallCaps w:val="false"/>
          <w:sz w:val="20"/>
          <w:u w:val="single"/>
        </w:rPr>
        <w:t>xpo.com</w:t>
      </w:r>
      <w:r>
        <w:rPr>
          <w:rFonts w:ascii="Times New Roman;Times;Serif" w:hAnsi="Times New Roman;Times;Serif"/>
          <w:b w:val="false"/>
          <w:i w:val="false"/>
          <w:caps w:val="false"/>
          <w:smallCaps w:val="false"/>
          <w:sz w:val="20"/>
        </w:rPr>
        <w:t xml:space="preserve"> for more information, and connect with XPO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Facebook</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Instagram</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YouTube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 Contact</w:t>
      </w:r>
      <w:r>
        <w:rPr>
          <w:rFonts w:ascii="Times New Roman;Times;Serif" w:hAnsi="Times New Roman;Times;Serif"/>
          <w:b w:val="false"/>
          <w:i w:val="false"/>
          <w:caps w:val="false"/>
          <w:smallCaps w:val="false"/>
          <w:sz w:val="20"/>
        </w:rPr>
        <w:br/>
        <w:t>Brian Scasserra</w:t>
        <w:br/>
        <w:t>+1 617-607-6429</w:t>
        <w:br/>
      </w:r>
      <w:r>
        <w:rPr>
          <w:rFonts w:ascii="Times New Roman;Times;Serif" w:hAnsi="Times New Roman;Times;Serif"/>
          <w:b w:val="false"/>
          <w:i w:val="false"/>
          <w:caps w:val="false"/>
          <w:smallCaps w:val="false"/>
          <w:sz w:val="20"/>
          <w:u w:val="single"/>
        </w:rPr>
        <w:t>brian.scasserra@xpo.com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Media Contact</w:t>
      </w:r>
      <w:r>
        <w:rPr>
          <w:rFonts w:ascii="Times New Roman;Times;Serif" w:hAnsi="Times New Roman;Times;Serif"/>
          <w:b w:val="false"/>
          <w:i w:val="false"/>
          <w:caps w:val="false"/>
          <w:smallCaps w:val="false"/>
          <w:sz w:val="20"/>
        </w:rPr>
        <w:br/>
        <w:t>Cole Horton</w:t>
        <w:br/>
        <w:t>+1 203-609-6004</w:t>
        <w:br/>
      </w:r>
      <w:r>
        <w:rPr>
          <w:rFonts w:ascii="Times New Roman;Times;Serif" w:hAnsi="Times New Roman;Times;Serif"/>
          <w:b w:val="false"/>
          <w:i w:val="false"/>
          <w:caps w:val="false"/>
          <w:smallCaps w:val="false"/>
          <w:sz w:val="20"/>
          <w:u w:val="single"/>
        </w:rPr>
        <w:t>cole.horton@xpo.com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1045</Words>
  <Characters>5787</Characters>
  <CharactersWithSpaces>6840</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