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44011.xml.htm"/>
      <w:bookmarkStart w:id="1" w:name="kswkform4_17909440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Wismans Kyle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XPO,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FIVE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XPO, Inc.</w:t>
              </w:r>
            </w:hyperlink>
            <w:r>
              <w:rPr/>
              <w:t xml:space="preserve"> [ </w:t>
            </w:r>
            <w:r>
              <w:rPr>
                <w:rFonts w:ascii="Times;serif" w:hAnsi="Times;serif"/>
                <w:color w:val="0000FF"/>
                <w:sz w:val="24"/>
                <w:shd w:fill="FFFFFF" w:val="clear"/>
              </w:rPr>
              <w:t>XPO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175.47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47,966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is part of a Rule 10b5-1 trading plan adopted by the Reporting Person on June 15, 2026 to facilitate long-term asset diversification and financial planning objectives.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attached 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Jonas Svedlund,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wismanspoa9212026.htm"/>
      <w:bookmarkStart w:id="3" w:name="kswismanspoa9212026"/>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POWER OF ATTORNEY The undersigned hereby constitutes and appoints Jonas Svedlund, Cody Bilgrien and Riina Tohvert, acting singly, the undersigned’s true and lawful attorney-in-fact to: (1) execute for and on behalf of the undersigned and file on EDGAR Next, in the undersigned’s capacity as an officer or director of XPO, Inc. (the “Company”), Forms 3, 4 and 5 (including amendments thereto) and Forms 144 in accordance with Section 16(a) of the Securities Exchange Act of 1934, as amended (the “Exchange Act”), and the rules and regulations thereunder; and (2) do and perform any and all acts for and on behalf of the undersigned which may be necessary or desirable to complete and execute any such Forms 3, 4 and 5 (including amendments thereto) and Forms 144 and timely file such forms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such attorney-in- fact’s discretion. The undersigned grants to such attorney-in-fact full power and authority to do and perform any and every act and thing whatsoever requisite, necessary or proper to be done in the exercise of any of the rights and powers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such attorney-in-fact, in serving in such capacity at the request of the undersigned, is not assuming, nor is the Company assuming, any of the undersigned’s responsibilities to comply with Section 16 of the Exchange Act. The undersigned agrees that such attorney-in-fact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4 or 5 (including amendments thereto) and Forms 144 and agrees to reimburse the Company and such attorney-in-fact for any legal or other expenses reasonably incurred in connection with investigating or defending against any such loss, claim, damage, liability or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Attorney shall remain in full force and effect until the undersigned is no longer required to file Forms 4 or 5 or Forms 144 with respect to the undersigned’s holdings of and transactions in securities issued by the Company, unless earlier (a) revoked by the undersigned in a signed writing delivered to the foregoing attorney-in-fact; or (b) superseded by a new power of attorney regarding the purposes outlined in the first paragraph hereof dated as of a later date. IN WITNESS WHEREOF, the undersigned has caused this Power of Attorney to be executed as of this 21st day of September, 2026. /s/ Kyle Wismans Kyle Wismans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7257" TargetMode="External"/><Relationship Id="rId5" Type="http://schemas.openxmlformats.org/officeDocument/2006/relationships/hyperlink" Target="http://www.sec.gov/cgi-bin/browse-edgar?action=getcompany&amp;CIK=00011660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1239</Words>
  <Characters>6607</Characters>
  <CharactersWithSpaces>7780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wismanspoa9212026</dc:title>
</cp:coreProperties>
</file>