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23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5"/>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Kingshott Adrian</w:t>
              </w:r>
            </w:hyperlink>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XPO Logistics,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XPO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gridSpan w:val="5"/>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740" w:type="dxa"/>
            <w:vAlign w:val="bottom"/>
          </w:tcPr>
          <w:p>
            <w:pPr>
              <w:ind w:left="2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XPO LOGISTICS, INC.</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4"/>
          </w:tcPr>
          <w:p>
            <w:pPr>
              <w:ind w:left="300"/>
              <w:spacing w:after="0"/>
              <w:rPr>
                <w:sz w:val="20"/>
                <w:szCs w:val="20"/>
                <w:color w:val="auto"/>
              </w:rPr>
            </w:pPr>
            <w:r>
              <w:rPr>
                <w:rFonts w:ascii="Arial" w:cs="Arial" w:eastAsia="Arial" w:hAnsi="Arial"/>
                <w:sz w:val="17"/>
                <w:szCs w:val="17"/>
                <w:color w:val="0000FF"/>
              </w:rPr>
              <w:t>12/29/2020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FIVE AMERICAN LANE</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GREENWICH   CT</w:t>
            </w:r>
          </w:p>
        </w:tc>
        <w:tc>
          <w:tcPr>
            <w:tcW w:w="740" w:type="dxa"/>
            <w:vAlign w:val="bottom"/>
          </w:tcPr>
          <w:p>
            <w:pPr>
              <w:ind w:left="20"/>
              <w:spacing w:after="0"/>
              <w:rPr>
                <w:sz w:val="20"/>
                <w:szCs w:val="20"/>
                <w:color w:val="auto"/>
              </w:rPr>
            </w:pPr>
            <w:r>
              <w:rPr>
                <w:rFonts w:ascii="Arial" w:cs="Arial" w:eastAsia="Arial" w:hAnsi="Arial"/>
                <w:sz w:val="17"/>
                <w:szCs w:val="17"/>
                <w:color w:val="0000FF"/>
              </w:rPr>
              <w:t>06831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740" w:type="dxa"/>
            <w:vAlign w:val="bottom"/>
          </w:tcPr>
          <w:p>
            <w:pPr>
              <w:ind w:left="2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jc w:val="center"/>
              <w:ind w:right="38"/>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gridSpan w:val="4"/>
          </w:tcPr>
          <w:p>
            <w:pPr>
              <w:jc w:val="center"/>
              <w:ind w:right="38"/>
              <w:spacing w:after="0"/>
              <w:rPr>
                <w:sz w:val="20"/>
                <w:szCs w:val="20"/>
                <w:color w:val="auto"/>
              </w:rPr>
            </w:pPr>
            <w:r>
              <w:rPr>
                <w:rFonts w:ascii="Arial" w:cs="Arial" w:eastAsia="Arial" w:hAnsi="Arial"/>
                <w:sz w:val="17"/>
                <w:szCs w:val="17"/>
                <w:color w:val="0000FF"/>
                <w:w w:val="89"/>
              </w:rPr>
              <w:t>12/29/2020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273"/>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22"/>
                <w:szCs w:val="22"/>
                <w:color w:val="auto"/>
              </w:rPr>
            </w:pPr>
          </w:p>
        </w:tc>
        <w:tc>
          <w:tcPr>
            <w:tcW w:w="560" w:type="dxa"/>
            <w:vAlign w:val="bottom"/>
          </w:tcPr>
          <w:p>
            <w:pPr>
              <w:jc w:val="center"/>
              <w:ind w:left="216"/>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left="10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16.74</w:t>
            </w: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15,500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gridSpan w:val="4"/>
          </w:tcPr>
          <w:p>
            <w:pPr>
              <w:jc w:val="center"/>
              <w:ind w:right="38"/>
              <w:spacing w:after="0"/>
              <w:rPr>
                <w:sz w:val="20"/>
                <w:szCs w:val="20"/>
                <w:color w:val="auto"/>
              </w:rPr>
            </w:pPr>
            <w:r>
              <w:rPr>
                <w:rFonts w:ascii="Arial" w:cs="Arial" w:eastAsia="Arial" w:hAnsi="Arial"/>
                <w:sz w:val="17"/>
                <w:szCs w:val="17"/>
                <w:color w:val="0000FF"/>
                <w:w w:val="89"/>
              </w:rPr>
              <w:t>12/29/2020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273"/>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22"/>
                <w:szCs w:val="22"/>
                <w:color w:val="auto"/>
              </w:rPr>
            </w:pPr>
          </w:p>
        </w:tc>
        <w:tc>
          <w:tcPr>
            <w:tcW w:w="560" w:type="dxa"/>
            <w:vAlign w:val="bottom"/>
          </w:tcPr>
          <w:p>
            <w:pPr>
              <w:jc w:val="center"/>
              <w:ind w:left="216"/>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left="10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23.19</w:t>
            </w: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23,500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gridSpan w:val="4"/>
          </w:tcPr>
          <w:p>
            <w:pPr>
              <w:jc w:val="center"/>
              <w:ind w:right="38"/>
              <w:spacing w:after="0"/>
              <w:rPr>
                <w:sz w:val="20"/>
                <w:szCs w:val="20"/>
                <w:color w:val="auto"/>
              </w:rPr>
            </w:pPr>
            <w:r>
              <w:rPr>
                <w:rFonts w:ascii="Arial" w:cs="Arial" w:eastAsia="Arial" w:hAnsi="Arial"/>
                <w:sz w:val="17"/>
                <w:szCs w:val="17"/>
                <w:color w:val="0000FF"/>
                <w:w w:val="89"/>
              </w:rPr>
              <w:t>12/29/2020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273"/>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22"/>
                <w:szCs w:val="22"/>
                <w:color w:val="auto"/>
              </w:rPr>
            </w:pPr>
          </w:p>
        </w:tc>
        <w:tc>
          <w:tcPr>
            <w:tcW w:w="560" w:type="dxa"/>
            <w:vAlign w:val="bottom"/>
          </w:tcPr>
          <w:p>
            <w:pPr>
              <w:jc w:val="center"/>
              <w:ind w:left="216"/>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16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9.28</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31,500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12/29/2020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2"/>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273"/>
              <w:spacing w:after="0"/>
              <w:rPr>
                <w:sz w:val="20"/>
                <w:szCs w:val="20"/>
                <w:color w:val="auto"/>
              </w:rPr>
            </w:pPr>
            <w:r>
              <w:rPr>
                <w:rFonts w:ascii="Arial" w:cs="Arial" w:eastAsia="Arial" w:hAnsi="Arial"/>
                <w:sz w:val="17"/>
                <w:szCs w:val="17"/>
                <w:color w:val="0000FF"/>
                <w:w w:val="89"/>
              </w:rPr>
              <w:t>3,360</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216"/>
              <w:spacing w:after="0" w:line="306"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(1)</w:t>
            </w:r>
          </w:p>
        </w:tc>
        <w:tc>
          <w:tcPr>
            <w:tcW w:w="720" w:type="dxa"/>
            <w:vAlign w:val="bottom"/>
            <w:tcBorders>
              <w:bottom w:val="single" w:sz="8" w:color="2C2C2C"/>
            </w:tcBorders>
            <w:gridSpan w:val="3"/>
          </w:tcPr>
          <w:p>
            <w:pPr>
              <w:jc w:val="center"/>
              <w:ind w:left="103"/>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117.22</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28,140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12/30/2020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02"/>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(2)</w:t>
            </w:r>
          </w:p>
        </w:tc>
        <w:tc>
          <w:tcPr>
            <w:tcW w:w="800" w:type="dxa"/>
            <w:vAlign w:val="bottom"/>
            <w:tcBorders>
              <w:bottom w:val="single" w:sz="8" w:color="2C2C2C"/>
            </w:tcBorders>
            <w:gridSpan w:val="2"/>
          </w:tcPr>
          <w:p>
            <w:pPr>
              <w:jc w:val="center"/>
              <w:ind w:left="233"/>
              <w:spacing w:after="0"/>
              <w:rPr>
                <w:sz w:val="20"/>
                <w:szCs w:val="20"/>
                <w:color w:val="auto"/>
              </w:rPr>
            </w:pPr>
            <w:r>
              <w:rPr>
                <w:rFonts w:ascii="Arial" w:cs="Arial" w:eastAsia="Arial" w:hAnsi="Arial"/>
                <w:sz w:val="17"/>
                <w:szCs w:val="17"/>
                <w:color w:val="0000FF"/>
                <w:w w:val="88"/>
              </w:rPr>
              <w:t>42,857</w:t>
            </w:r>
          </w:p>
        </w:tc>
        <w:tc>
          <w:tcPr>
            <w:tcW w:w="560" w:type="dxa"/>
            <w:vAlign w:val="bottom"/>
            <w:tcBorders>
              <w:bottom w:val="single" w:sz="8" w:color="2C2C2C"/>
            </w:tcBorders>
          </w:tcPr>
          <w:p>
            <w:pPr>
              <w:jc w:val="center"/>
              <w:ind w:left="216"/>
              <w:spacing w:after="0" w:line="306" w:lineRule="exact"/>
              <w:rPr>
                <w:sz w:val="20"/>
                <w:szCs w:val="20"/>
                <w:color w:val="auto"/>
              </w:rPr>
            </w:pPr>
            <w:r>
              <w:rPr>
                <w:rFonts w:ascii="Arial" w:cs="Arial" w:eastAsia="Arial" w:hAnsi="Arial"/>
                <w:sz w:val="33"/>
                <w:szCs w:val="33"/>
                <w:color w:val="0000FF"/>
                <w:w w:val="85"/>
                <w:vertAlign w:val="subscript"/>
              </w:rPr>
              <w:t>A</w:t>
            </w:r>
            <w:r>
              <w:rPr>
                <w:rFonts w:ascii="Arial" w:cs="Arial" w:eastAsia="Arial" w:hAnsi="Arial"/>
                <w:sz w:val="11"/>
                <w:szCs w:val="11"/>
                <w:color w:val="008000"/>
                <w:w w:val="85"/>
              </w:rPr>
              <w:t>(2)</w:t>
            </w:r>
          </w:p>
        </w:tc>
        <w:tc>
          <w:tcPr>
            <w:tcW w:w="660" w:type="dxa"/>
            <w:vAlign w:val="bottom"/>
            <w:tcBorders>
              <w:bottom w:val="single" w:sz="8" w:color="2C2C2C"/>
            </w:tcBorders>
            <w:gridSpan w:val="2"/>
          </w:tcPr>
          <w:p>
            <w:pPr>
              <w:jc w:val="center"/>
              <w:ind w:left="16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70,997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6"/>
              </w:rPr>
              <w:t>Common Stock, par value $0.001 per share</w:t>
            </w:r>
          </w:p>
        </w:tc>
        <w:tc>
          <w:tcPr>
            <w:tcW w:w="10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12/30/2020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02"/>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(3)</w:t>
            </w:r>
          </w:p>
        </w:tc>
        <w:tc>
          <w:tcPr>
            <w:tcW w:w="800" w:type="dxa"/>
            <w:vAlign w:val="bottom"/>
            <w:tcBorders>
              <w:bottom w:val="single" w:sz="8" w:color="2C2C2C"/>
            </w:tcBorders>
            <w:gridSpan w:val="2"/>
          </w:tcPr>
          <w:p>
            <w:pPr>
              <w:jc w:val="center"/>
              <w:ind w:left="233"/>
              <w:spacing w:after="0"/>
              <w:rPr>
                <w:sz w:val="20"/>
                <w:szCs w:val="20"/>
                <w:color w:val="auto"/>
              </w:rPr>
            </w:pPr>
            <w:r>
              <w:rPr>
                <w:rFonts w:ascii="Arial" w:cs="Arial" w:eastAsia="Arial" w:hAnsi="Arial"/>
                <w:sz w:val="17"/>
                <w:szCs w:val="17"/>
                <w:color w:val="0000FF"/>
                <w:w w:val="88"/>
              </w:rPr>
              <w:t>40,316</w:t>
            </w:r>
          </w:p>
        </w:tc>
        <w:tc>
          <w:tcPr>
            <w:tcW w:w="560" w:type="dxa"/>
            <w:vAlign w:val="bottom"/>
            <w:tcBorders>
              <w:bottom w:val="single" w:sz="8" w:color="2C2C2C"/>
            </w:tcBorders>
          </w:tcPr>
          <w:p>
            <w:pPr>
              <w:jc w:val="center"/>
              <w:ind w:left="216"/>
              <w:spacing w:after="0" w:line="306" w:lineRule="exact"/>
              <w:rPr>
                <w:sz w:val="20"/>
                <w:szCs w:val="20"/>
                <w:color w:val="auto"/>
              </w:rPr>
            </w:pPr>
            <w:r>
              <w:rPr>
                <w:rFonts w:ascii="Arial" w:cs="Arial" w:eastAsia="Arial" w:hAnsi="Arial"/>
                <w:sz w:val="33"/>
                <w:szCs w:val="33"/>
                <w:color w:val="0000FF"/>
                <w:w w:val="85"/>
                <w:vertAlign w:val="subscript"/>
              </w:rPr>
              <w:t>A</w:t>
            </w:r>
            <w:r>
              <w:rPr>
                <w:rFonts w:ascii="Arial" w:cs="Arial" w:eastAsia="Arial" w:hAnsi="Arial"/>
                <w:sz w:val="11"/>
                <w:szCs w:val="11"/>
                <w:color w:val="008000"/>
                <w:w w:val="85"/>
              </w:rPr>
              <w:t>(3)</w:t>
            </w:r>
          </w:p>
        </w:tc>
        <w:tc>
          <w:tcPr>
            <w:tcW w:w="660" w:type="dxa"/>
            <w:vAlign w:val="bottom"/>
            <w:tcBorders>
              <w:bottom w:val="single" w:sz="8" w:color="2C2C2C"/>
            </w:tcBorders>
            <w:gridSpan w:val="2"/>
          </w:tcPr>
          <w:p>
            <w:pPr>
              <w:jc w:val="center"/>
              <w:ind w:left="16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111,313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23.19</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12/29/2020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378"/>
              <w:spacing w:after="0" w:line="141" w:lineRule="exact"/>
              <w:rPr>
                <w:sz w:val="20"/>
                <w:szCs w:val="20"/>
                <w:color w:val="auto"/>
              </w:rPr>
            </w:pPr>
            <w:r>
              <w:rPr>
                <w:rFonts w:ascii="Arial" w:cs="Arial" w:eastAsia="Arial" w:hAnsi="Arial"/>
                <w:sz w:val="13"/>
                <w:szCs w:val="13"/>
                <w:color w:val="0000FF"/>
              </w:rPr>
              <w:t>M</w:t>
            </w:r>
          </w:p>
        </w:tc>
        <w:tc>
          <w:tcPr>
            <w:tcW w:w="900" w:type="dxa"/>
            <w:vAlign w:val="bottom"/>
          </w:tcPr>
          <w:p>
            <w:pPr>
              <w:jc w:val="center"/>
              <w:ind w:left="261"/>
              <w:spacing w:after="0" w:line="141" w:lineRule="exact"/>
              <w:rPr>
                <w:sz w:val="20"/>
                <w:szCs w:val="20"/>
                <w:color w:val="auto"/>
              </w:rPr>
            </w:pPr>
            <w:r>
              <w:rPr>
                <w:rFonts w:ascii="Arial" w:cs="Arial" w:eastAsia="Arial" w:hAnsi="Arial"/>
                <w:sz w:val="13"/>
                <w:szCs w:val="13"/>
                <w:color w:val="0000FF"/>
                <w:w w:val="92"/>
              </w:rPr>
              <w:t>8,000</w:t>
            </w:r>
          </w:p>
        </w:tc>
        <w:tc>
          <w:tcPr>
            <w:tcW w:w="740" w:type="dxa"/>
            <w:vAlign w:val="bottom"/>
            <w:gridSpan w:val="2"/>
          </w:tcPr>
          <w:p>
            <w:pPr>
              <w:jc w:val="center"/>
              <w:ind w:right="22"/>
              <w:spacing w:after="0" w:line="141" w:lineRule="exact"/>
              <w:rPr>
                <w:sz w:val="20"/>
                <w:szCs w:val="20"/>
                <w:color w:val="auto"/>
              </w:rPr>
            </w:pPr>
            <w:r>
              <w:rPr>
                <w:rFonts w:ascii="Arial" w:cs="Arial" w:eastAsia="Arial" w:hAnsi="Arial"/>
                <w:sz w:val="13"/>
                <w:szCs w:val="13"/>
                <w:color w:val="0000FF"/>
                <w:w w:val="89"/>
              </w:rPr>
              <w:t>01/02/2015</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12/12/2023</w:t>
            </w:r>
          </w:p>
        </w:tc>
        <w:tc>
          <w:tcPr>
            <w:tcW w:w="600" w:type="dxa"/>
            <w:vAlign w:val="bottom"/>
            <w:gridSpan w:val="2"/>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0"/>
              <w:spacing w:after="0" w:line="141"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76"/>
              <w:spacing w:after="0" w:line="141" w:lineRule="exact"/>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16.74</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12/29/2020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378"/>
              <w:spacing w:after="0" w:line="141" w:lineRule="exact"/>
              <w:rPr>
                <w:sz w:val="20"/>
                <w:szCs w:val="20"/>
                <w:color w:val="auto"/>
              </w:rPr>
            </w:pPr>
            <w:r>
              <w:rPr>
                <w:rFonts w:ascii="Arial" w:cs="Arial" w:eastAsia="Arial" w:hAnsi="Arial"/>
                <w:sz w:val="13"/>
                <w:szCs w:val="13"/>
                <w:color w:val="0000FF"/>
              </w:rPr>
              <w:t>M</w:t>
            </w:r>
          </w:p>
        </w:tc>
        <w:tc>
          <w:tcPr>
            <w:tcW w:w="900" w:type="dxa"/>
            <w:vAlign w:val="bottom"/>
          </w:tcPr>
          <w:p>
            <w:pPr>
              <w:jc w:val="center"/>
              <w:ind w:left="261"/>
              <w:spacing w:after="0" w:line="141" w:lineRule="exact"/>
              <w:rPr>
                <w:sz w:val="20"/>
                <w:szCs w:val="20"/>
                <w:color w:val="auto"/>
              </w:rPr>
            </w:pPr>
            <w:r>
              <w:rPr>
                <w:rFonts w:ascii="Arial" w:cs="Arial" w:eastAsia="Arial" w:hAnsi="Arial"/>
                <w:sz w:val="13"/>
                <w:szCs w:val="13"/>
                <w:color w:val="0000FF"/>
                <w:w w:val="92"/>
              </w:rPr>
              <w:t>8,000</w:t>
            </w:r>
          </w:p>
        </w:tc>
        <w:tc>
          <w:tcPr>
            <w:tcW w:w="740" w:type="dxa"/>
            <w:vAlign w:val="bottom"/>
            <w:gridSpan w:val="2"/>
          </w:tcPr>
          <w:p>
            <w:pPr>
              <w:jc w:val="center"/>
              <w:ind w:right="2"/>
              <w:spacing w:after="0" w:line="141" w:lineRule="exact"/>
              <w:rPr>
                <w:sz w:val="20"/>
                <w:szCs w:val="20"/>
                <w:color w:val="auto"/>
              </w:rPr>
            </w:pPr>
            <w:r>
              <w:rPr>
                <w:rFonts w:ascii="Arial" w:cs="Arial" w:eastAsia="Arial" w:hAnsi="Arial"/>
                <w:sz w:val="13"/>
                <w:szCs w:val="13"/>
                <w:color w:val="0000FF"/>
                <w:w w:val="86"/>
              </w:rPr>
              <w:t>12/11/2013</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12/11/2022</w:t>
            </w:r>
          </w:p>
        </w:tc>
        <w:tc>
          <w:tcPr>
            <w:tcW w:w="600" w:type="dxa"/>
            <w:vAlign w:val="bottom"/>
            <w:gridSpan w:val="2"/>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0"/>
              <w:spacing w:after="0" w:line="141"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76"/>
              <w:spacing w:after="0" w:line="141" w:lineRule="exact"/>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9.28</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12/29/2020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378"/>
              <w:spacing w:after="0" w:line="141" w:lineRule="exact"/>
              <w:rPr>
                <w:sz w:val="20"/>
                <w:szCs w:val="20"/>
                <w:color w:val="auto"/>
              </w:rPr>
            </w:pPr>
            <w:r>
              <w:rPr>
                <w:rFonts w:ascii="Arial" w:cs="Arial" w:eastAsia="Arial" w:hAnsi="Arial"/>
                <w:sz w:val="13"/>
                <w:szCs w:val="13"/>
                <w:color w:val="0000FF"/>
              </w:rPr>
              <w:t>M</w:t>
            </w:r>
          </w:p>
        </w:tc>
        <w:tc>
          <w:tcPr>
            <w:tcW w:w="900" w:type="dxa"/>
            <w:vAlign w:val="bottom"/>
          </w:tcPr>
          <w:p>
            <w:pPr>
              <w:jc w:val="center"/>
              <w:ind w:left="261"/>
              <w:spacing w:after="0" w:line="141" w:lineRule="exact"/>
              <w:rPr>
                <w:sz w:val="20"/>
                <w:szCs w:val="20"/>
                <w:color w:val="auto"/>
              </w:rPr>
            </w:pPr>
            <w:r>
              <w:rPr>
                <w:rFonts w:ascii="Arial" w:cs="Arial" w:eastAsia="Arial" w:hAnsi="Arial"/>
                <w:sz w:val="13"/>
                <w:szCs w:val="13"/>
                <w:color w:val="0000FF"/>
                <w:w w:val="92"/>
              </w:rPr>
              <w:t>8,000</w:t>
            </w:r>
          </w:p>
        </w:tc>
        <w:tc>
          <w:tcPr>
            <w:tcW w:w="740" w:type="dxa"/>
            <w:vAlign w:val="bottom"/>
            <w:gridSpan w:val="2"/>
          </w:tcPr>
          <w:p>
            <w:pPr>
              <w:jc w:val="center"/>
              <w:ind w:right="22"/>
              <w:spacing w:after="0" w:line="141" w:lineRule="exact"/>
              <w:rPr>
                <w:sz w:val="20"/>
                <w:szCs w:val="20"/>
                <w:color w:val="auto"/>
              </w:rPr>
            </w:pPr>
            <w:r>
              <w:rPr>
                <w:rFonts w:ascii="Arial" w:cs="Arial" w:eastAsia="Arial" w:hAnsi="Arial"/>
                <w:sz w:val="13"/>
                <w:szCs w:val="13"/>
                <w:color w:val="0000FF"/>
                <w:w w:val="89"/>
              </w:rPr>
              <w:t>09/02/2012</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89"/>
              </w:rPr>
              <w:t>11/21/2021</w:t>
            </w:r>
          </w:p>
        </w:tc>
        <w:tc>
          <w:tcPr>
            <w:tcW w:w="600" w:type="dxa"/>
            <w:vAlign w:val="bottom"/>
            <w:gridSpan w:val="2"/>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0"/>
              <w:spacing w:after="0" w:line="141"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76"/>
              <w:spacing w:after="0" w:line="141" w:lineRule="exact"/>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760" w:type="dxa"/>
            <w:vAlign w:val="bottom"/>
            <w:vMerge w:val="restart"/>
          </w:tcPr>
          <w:p>
            <w:pPr>
              <w:jc w:val="center"/>
              <w:spacing w:after="0" w:line="264" w:lineRule="exact"/>
              <w:rPr>
                <w:sz w:val="20"/>
                <w:szCs w:val="20"/>
                <w:color w:val="auto"/>
              </w:rPr>
            </w:pPr>
            <w:r>
              <w:rPr>
                <w:rFonts w:ascii="Arial" w:cs="Arial" w:eastAsia="Arial" w:hAnsi="Arial"/>
                <w:sz w:val="22"/>
                <w:szCs w:val="22"/>
                <w:color w:val="000000"/>
                <w:w w:val="84"/>
                <w:vertAlign w:val="subscript"/>
              </w:rPr>
              <w:t>$</w:t>
            </w:r>
            <w:r>
              <w:rPr>
                <w:rFonts w:ascii="Arial" w:cs="Arial" w:eastAsia="Arial" w:hAnsi="Arial"/>
                <w:sz w:val="25"/>
                <w:szCs w:val="25"/>
                <w:color w:val="0000FF"/>
                <w:w w:val="84"/>
                <w:vertAlign w:val="subscript"/>
              </w:rPr>
              <w:t>7</w:t>
            </w:r>
            <w:r>
              <w:rPr>
                <w:rFonts w:ascii="Arial" w:cs="Arial" w:eastAsia="Arial" w:hAnsi="Arial"/>
                <w:sz w:val="11"/>
                <w:szCs w:val="11"/>
                <w:color w:val="008000"/>
                <w:w w:val="84"/>
              </w:rPr>
              <w:t>(5)</w:t>
            </w: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vMerge w:val="restart"/>
          </w:tcPr>
          <w:p>
            <w:pPr>
              <w:jc w:val="center"/>
              <w:ind w:right="238"/>
              <w:spacing w:after="0" w:line="264" w:lineRule="exact"/>
              <w:rPr>
                <w:sz w:val="20"/>
                <w:szCs w:val="20"/>
                <w:color w:val="auto"/>
              </w:rPr>
            </w:pPr>
            <w:r>
              <w:rPr>
                <w:rFonts w:ascii="Arial" w:cs="Arial" w:eastAsia="Arial" w:hAnsi="Arial"/>
                <w:sz w:val="25"/>
                <w:szCs w:val="25"/>
                <w:color w:val="0000FF"/>
                <w:w w:val="78"/>
                <w:vertAlign w:val="subscript"/>
              </w:rPr>
              <w:t>D</w:t>
            </w:r>
            <w:r>
              <w:rPr>
                <w:rFonts w:ascii="Arial" w:cs="Arial" w:eastAsia="Arial" w:hAnsi="Arial"/>
                <w:sz w:val="11"/>
                <w:szCs w:val="11"/>
                <w:color w:val="008000"/>
                <w:w w:val="78"/>
              </w:rPr>
              <w:t>(2)</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1"/>
                <w:szCs w:val="11"/>
                <w:color w:val="008000"/>
                <w:w w:val="88"/>
              </w:rPr>
              <w:t>(6)</w:t>
            </w: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42,857</w:t>
            </w:r>
            <w:r>
              <w:rPr>
                <w:rFonts w:ascii="Arial" w:cs="Arial" w:eastAsia="Arial" w:hAnsi="Arial"/>
                <w:sz w:val="21"/>
                <w:szCs w:val="21"/>
                <w:color w:val="008000"/>
                <w:w w:val="83"/>
                <w:vertAlign w:val="superscript"/>
              </w:rPr>
              <w:t>(7)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12/30/2020</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900" w:type="dxa"/>
            <w:vAlign w:val="bottom"/>
            <w:vMerge w:val="restart"/>
          </w:tcPr>
          <w:p>
            <w:pPr>
              <w:jc w:val="center"/>
              <w:ind w:left="261"/>
              <w:spacing w:after="0" w:line="124" w:lineRule="exact"/>
              <w:rPr>
                <w:sz w:val="20"/>
                <w:szCs w:val="20"/>
                <w:color w:val="auto"/>
              </w:rPr>
            </w:pPr>
            <w:r>
              <w:rPr>
                <w:rFonts w:ascii="Arial" w:cs="Arial" w:eastAsia="Arial" w:hAnsi="Arial"/>
                <w:sz w:val="13"/>
                <w:szCs w:val="13"/>
                <w:color w:val="0000FF"/>
                <w:w w:val="82"/>
              </w:rPr>
              <w:t>300</w:t>
            </w:r>
          </w:p>
        </w:tc>
        <w:tc>
          <w:tcPr>
            <w:tcW w:w="740" w:type="dxa"/>
            <w:vAlign w:val="bottom"/>
            <w:gridSpan w:val="2"/>
            <w:vMerge w:val="restart"/>
          </w:tcPr>
          <w:p>
            <w:pPr>
              <w:jc w:val="center"/>
              <w:ind w:right="2"/>
              <w:spacing w:after="0" w:line="124" w:lineRule="exact"/>
              <w:rPr>
                <w:sz w:val="20"/>
                <w:szCs w:val="20"/>
                <w:color w:val="auto"/>
              </w:rPr>
            </w:pPr>
            <w:r>
              <w:rPr>
                <w:rFonts w:ascii="Arial" w:cs="Arial" w:eastAsia="Arial" w:hAnsi="Arial"/>
                <w:sz w:val="13"/>
                <w:szCs w:val="13"/>
                <w:color w:val="0000FF"/>
                <w:w w:val="86"/>
              </w:rPr>
              <w:t>09/02/2011</w:t>
            </w:r>
          </w:p>
        </w:tc>
        <w:tc>
          <w:tcPr>
            <w:tcW w:w="760" w:type="dxa"/>
            <w:vAlign w:val="bottom"/>
            <w:vMerge w:val="continue"/>
          </w:tcPr>
          <w:p>
            <w:pPr>
              <w:spacing w:after="0"/>
              <w:rPr>
                <w:sz w:val="4"/>
                <w:szCs w:val="4"/>
                <w:color w:val="auto"/>
              </w:rPr>
            </w:pPr>
          </w:p>
        </w:tc>
        <w:tc>
          <w:tcPr>
            <w:tcW w:w="600" w:type="dxa"/>
            <w:vAlign w:val="bottom"/>
            <w:gridSpan w:val="2"/>
            <w:vMerge w:val="restart"/>
          </w:tcPr>
          <w:p>
            <w:pPr>
              <w:jc w:val="center"/>
              <w:ind w:right="36"/>
              <w:spacing w:after="0" w:line="124"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center"/>
              <w:ind w:right="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center"/>
              <w:ind w:left="180"/>
              <w:spacing w:after="0" w:line="12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4"/>
                <w:szCs w:val="4"/>
                <w:color w:val="auto"/>
              </w:rPr>
            </w:pPr>
          </w:p>
        </w:tc>
        <w:tc>
          <w:tcPr>
            <w:tcW w:w="660" w:type="dxa"/>
            <w:vAlign w:val="bottom"/>
            <w:vMerge w:val="restart"/>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700" w:type="dxa"/>
            <w:vAlign w:val="bottom"/>
            <w:gridSpan w:val="3"/>
          </w:tcPr>
          <w:p>
            <w:pPr>
              <w:jc w:val="right"/>
              <w:spacing w:after="0" w:line="78" w:lineRule="exact"/>
              <w:rPr>
                <w:sz w:val="20"/>
                <w:szCs w:val="20"/>
                <w:color w:val="auto"/>
              </w:rPr>
            </w:pPr>
            <w:r>
              <w:rPr>
                <w:rFonts w:ascii="Arial" w:cs="Arial" w:eastAsia="Arial" w:hAnsi="Arial"/>
                <w:sz w:val="8"/>
                <w:szCs w:val="8"/>
                <w:color w:val="008000"/>
              </w:rPr>
              <w:t>(4)</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footnote</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ind w:right="76"/>
              <w:spacing w:after="0"/>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restart"/>
          </w:tcPr>
          <w:p>
            <w:pPr>
              <w:jc w:val="center"/>
              <w:spacing w:after="0" w:line="281" w:lineRule="exact"/>
              <w:rPr>
                <w:sz w:val="20"/>
                <w:szCs w:val="20"/>
                <w:color w:val="auto"/>
              </w:rPr>
            </w:pPr>
            <w:r>
              <w:rPr>
                <w:rFonts w:ascii="Arial" w:cs="Arial" w:eastAsia="Arial" w:hAnsi="Arial"/>
                <w:sz w:val="22"/>
                <w:szCs w:val="22"/>
                <w:color w:val="000000"/>
                <w:w w:val="84"/>
                <w:vertAlign w:val="subscript"/>
              </w:rPr>
              <w:t>$</w:t>
            </w:r>
            <w:r>
              <w:rPr>
                <w:rFonts w:ascii="Arial" w:cs="Arial" w:eastAsia="Arial" w:hAnsi="Arial"/>
                <w:sz w:val="25"/>
                <w:szCs w:val="25"/>
                <w:color w:val="0000FF"/>
                <w:w w:val="84"/>
                <w:vertAlign w:val="subscript"/>
              </w:rPr>
              <w:t>7</w:t>
            </w:r>
            <w:r>
              <w:rPr>
                <w:rFonts w:ascii="Arial" w:cs="Arial" w:eastAsia="Arial" w:hAnsi="Arial"/>
                <w:sz w:val="11"/>
                <w:szCs w:val="11"/>
                <w:color w:val="008000"/>
                <w:w w:val="84"/>
              </w:rPr>
              <w:t>(8)</w:t>
            </w: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vMerge w:val="restart"/>
          </w:tcPr>
          <w:p>
            <w:pPr>
              <w:jc w:val="center"/>
              <w:ind w:right="238"/>
              <w:spacing w:after="0" w:line="281" w:lineRule="exact"/>
              <w:rPr>
                <w:sz w:val="20"/>
                <w:szCs w:val="20"/>
                <w:color w:val="auto"/>
              </w:rPr>
            </w:pPr>
            <w:r>
              <w:rPr>
                <w:rFonts w:ascii="Arial" w:cs="Arial" w:eastAsia="Arial" w:hAnsi="Arial"/>
                <w:sz w:val="25"/>
                <w:szCs w:val="25"/>
                <w:color w:val="0000FF"/>
                <w:w w:val="78"/>
                <w:vertAlign w:val="subscript"/>
              </w:rPr>
              <w:t>D</w:t>
            </w:r>
            <w:r>
              <w:rPr>
                <w:rFonts w:ascii="Arial" w:cs="Arial" w:eastAsia="Arial" w:hAnsi="Arial"/>
                <w:sz w:val="11"/>
                <w:szCs w:val="11"/>
                <w:color w:val="008000"/>
                <w:w w:val="78"/>
              </w:rPr>
              <w:t>(3)</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42,857</w:t>
            </w:r>
            <w:r>
              <w:rPr>
                <w:rFonts w:ascii="Arial" w:cs="Arial" w:eastAsia="Arial" w:hAnsi="Arial"/>
                <w:sz w:val="21"/>
                <w:szCs w:val="21"/>
                <w:color w:val="008000"/>
                <w:w w:val="83"/>
                <w:vertAlign w:val="superscript"/>
              </w:rPr>
              <w:t>(9)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Warrants</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12/29/2020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00" w:type="dxa"/>
            <w:vAlign w:val="bottom"/>
          </w:tcPr>
          <w:p>
            <w:pPr>
              <w:jc w:val="center"/>
              <w:ind w:left="261"/>
              <w:spacing w:after="0" w:line="141" w:lineRule="exact"/>
              <w:rPr>
                <w:sz w:val="20"/>
                <w:szCs w:val="20"/>
                <w:color w:val="auto"/>
              </w:rPr>
            </w:pPr>
            <w:r>
              <w:rPr>
                <w:rFonts w:ascii="Arial" w:cs="Arial" w:eastAsia="Arial" w:hAnsi="Arial"/>
                <w:sz w:val="13"/>
                <w:szCs w:val="13"/>
                <w:color w:val="0000FF"/>
                <w:w w:val="85"/>
              </w:rPr>
              <w:t>42,857</w:t>
            </w:r>
          </w:p>
        </w:tc>
        <w:tc>
          <w:tcPr>
            <w:tcW w:w="740" w:type="dxa"/>
            <w:vAlign w:val="bottom"/>
            <w:gridSpan w:val="2"/>
          </w:tcPr>
          <w:p>
            <w:pPr>
              <w:jc w:val="center"/>
              <w:ind w:right="2"/>
              <w:spacing w:after="0" w:line="141" w:lineRule="exact"/>
              <w:rPr>
                <w:sz w:val="20"/>
                <w:szCs w:val="20"/>
                <w:color w:val="auto"/>
              </w:rPr>
            </w:pPr>
            <w:r>
              <w:rPr>
                <w:rFonts w:ascii="Arial" w:cs="Arial" w:eastAsia="Arial" w:hAnsi="Arial"/>
                <w:sz w:val="13"/>
                <w:szCs w:val="13"/>
                <w:color w:val="0000FF"/>
                <w:w w:val="86"/>
              </w:rPr>
              <w:t>09/02/2011</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09/02/2021</w:t>
            </w:r>
          </w:p>
        </w:tc>
        <w:tc>
          <w:tcPr>
            <w:tcW w:w="600" w:type="dxa"/>
            <w:vAlign w:val="bottom"/>
            <w:gridSpan w:val="2"/>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0"/>
              <w:spacing w:after="0" w:line="141"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76"/>
              <w:spacing w:after="0" w:line="141" w:lineRule="exact"/>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1"/>
              </w:rPr>
              <w:t>(11)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2,392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gridSpan w:val="2"/>
            <w:vMerge w:val="restart"/>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200"/>
              <w:spacing w:after="0" w:line="141" w:lineRule="exact"/>
              <w:rPr>
                <w:sz w:val="20"/>
                <w:szCs w:val="20"/>
                <w:color w:val="auto"/>
              </w:rPr>
            </w:pPr>
            <w:r>
              <w:rPr>
                <w:rFonts w:ascii="Arial" w:cs="Arial" w:eastAsia="Arial" w:hAnsi="Arial"/>
                <w:sz w:val="13"/>
                <w:szCs w:val="13"/>
                <w:color w:val="0000FF"/>
                <w:w w:val="85"/>
              </w:rPr>
              <w:t>2,392</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jc w:val="center"/>
              <w:ind w:right="76"/>
              <w:spacing w:after="0" w:line="141" w:lineRule="exact"/>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3"/>
              </w:rPr>
              <w:t>per share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center"/>
              <w:ind w:right="36"/>
              <w:spacing w:after="0"/>
              <w:rPr>
                <w:sz w:val="20"/>
                <w:szCs w:val="20"/>
                <w:color w:val="auto"/>
              </w:rPr>
            </w:pPr>
            <w:r>
              <w:rPr>
                <w:rFonts w:ascii="Arial" w:cs="Arial" w:eastAsia="Arial" w:hAnsi="Arial"/>
                <w:sz w:val="13"/>
                <w:szCs w:val="13"/>
                <w:color w:val="0000FF"/>
                <w:w w:val="87"/>
              </w:rPr>
              <w:t>Common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1"/>
              </w:rPr>
              <w:t>(12)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40" w:type="dxa"/>
            <w:vAlign w:val="bottom"/>
          </w:tcPr>
          <w:p>
            <w:pPr>
              <w:spacing w:after="0"/>
              <w:rPr>
                <w:sz w:val="12"/>
                <w:szCs w:val="12"/>
                <w:color w:val="auto"/>
              </w:rPr>
            </w:pPr>
          </w:p>
        </w:tc>
        <w:tc>
          <w:tcPr>
            <w:tcW w:w="560" w:type="dxa"/>
            <w:vAlign w:val="bottom"/>
          </w:tcPr>
          <w:p>
            <w:pPr>
              <w:jc w:val="center"/>
              <w:ind w:right="96"/>
              <w:spacing w:after="0" w:line="141" w:lineRule="exact"/>
              <w:rPr>
                <w:sz w:val="20"/>
                <w:szCs w:val="20"/>
                <w:color w:val="auto"/>
              </w:rPr>
            </w:pPr>
            <w:r>
              <w:rPr>
                <w:rFonts w:ascii="Arial" w:cs="Arial" w:eastAsia="Arial" w:hAnsi="Arial"/>
                <w:sz w:val="13"/>
                <w:szCs w:val="13"/>
                <w:color w:val="0000FF"/>
                <w:w w:val="88"/>
              </w:rPr>
              <w:t>Stock,</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3,249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gridSpan w:val="2"/>
            <w:vMerge w:val="restart"/>
          </w:tcPr>
          <w:p>
            <w:pPr>
              <w:jc w:val="center"/>
              <w:ind w:right="36"/>
              <w:spacing w:after="0" w:line="141" w:lineRule="exact"/>
              <w:rPr>
                <w:sz w:val="20"/>
                <w:szCs w:val="20"/>
                <w:color w:val="auto"/>
              </w:rPr>
            </w:pPr>
            <w:r>
              <w:rPr>
                <w:rFonts w:ascii="Arial" w:cs="Arial" w:eastAsia="Arial" w:hAnsi="Arial"/>
                <w:sz w:val="13"/>
                <w:szCs w:val="13"/>
                <w:color w:val="0000FF"/>
                <w:w w:val="85"/>
              </w:rPr>
              <w:t>par value</w:t>
            </w: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200"/>
              <w:spacing w:after="0" w:line="141" w:lineRule="exact"/>
              <w:rPr>
                <w:sz w:val="20"/>
                <w:szCs w:val="20"/>
                <w:color w:val="auto"/>
              </w:rPr>
            </w:pPr>
            <w:r>
              <w:rPr>
                <w:rFonts w:ascii="Arial" w:cs="Arial" w:eastAsia="Arial" w:hAnsi="Arial"/>
                <w:sz w:val="13"/>
                <w:szCs w:val="13"/>
                <w:color w:val="0000FF"/>
                <w:w w:val="85"/>
              </w:rPr>
              <w:t>3,249</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jc w:val="center"/>
              <w:ind w:right="76"/>
              <w:spacing w:after="0"/>
              <w:rPr>
                <w:sz w:val="20"/>
                <w:szCs w:val="20"/>
                <w:color w:val="auto"/>
              </w:rPr>
            </w:pPr>
            <w:r>
              <w:rPr>
                <w:rFonts w:ascii="Arial" w:cs="Arial" w:eastAsia="Arial" w:hAnsi="Arial"/>
                <w:sz w:val="13"/>
                <w:szCs w:val="13"/>
                <w:color w:val="0000FF"/>
                <w:w w:val="85"/>
              </w:rPr>
              <w:t>$0.001</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-7148195</wp:posOffset>
            </wp:positionV>
            <wp:extent cx="7034530" cy="7673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767397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3"/>
          <w:szCs w:val="13"/>
          <w:color w:val="0000FF"/>
        </w:rPr>
        <w:t>per share</w:t>
      </w:r>
    </w:p>
    <w:p>
      <w:pPr>
        <w:sectPr>
          <w:pgSz w:w="11900" w:h="16838" w:orient="portrait"/>
          <w:cols w:equalWidth="0" w:num="1">
            <w:col w:w="11080"/>
          </w:cols>
          <w:pgMar w:left="460" w:top="220" w:right="359" w:bottom="23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3569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56997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64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2,071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par value</w:t>
            </w:r>
          </w:p>
        </w:tc>
        <w:tc>
          <w:tcPr>
            <w:tcW w:w="7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2,071</w:t>
            </w:r>
          </w:p>
        </w:tc>
        <w:tc>
          <w:tcPr>
            <w:tcW w:w="7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64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3,970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par value</w:t>
            </w:r>
          </w:p>
        </w:tc>
        <w:tc>
          <w:tcPr>
            <w:tcW w:w="7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3,970</w:t>
            </w:r>
          </w:p>
        </w:tc>
        <w:tc>
          <w:tcPr>
            <w:tcW w:w="7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4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6,501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par value</w:t>
            </w:r>
          </w:p>
        </w:tc>
        <w:tc>
          <w:tcPr>
            <w:tcW w:w="7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6,501</w:t>
            </w:r>
          </w:p>
        </w:tc>
        <w:tc>
          <w:tcPr>
            <w:tcW w:w="7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4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4,257</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par value</w:t>
            </w:r>
          </w:p>
        </w:tc>
        <w:tc>
          <w:tcPr>
            <w:tcW w:w="7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4,257</w:t>
            </w:r>
          </w:p>
        </w:tc>
        <w:tc>
          <w:tcPr>
            <w:tcW w:w="7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740"/>
        <w:spacing w:after="0"/>
        <w:rPr>
          <w:sz w:val="20"/>
          <w:szCs w:val="20"/>
          <w:color w:val="auto"/>
        </w:rPr>
      </w:pPr>
      <w:r>
        <w:rPr>
          <w:rFonts w:ascii="Arial" w:cs="Arial" w:eastAsia="Arial" w:hAnsi="Arial"/>
          <w:sz w:val="13"/>
          <w:szCs w:val="13"/>
          <w:color w:val="0000FF"/>
        </w:rPr>
        <w:t>per share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spacing w:after="0" w:line="244"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 shares were sold by the Reporting Person. These shares were withheld by the Issuer to fund the exercise price attributable to the exercise of the Director Stock Options reported on this Form 4. The Director Stock Options were fully vested and exercisable at the time of the exercise, and there were no related discretionary transactions or open market sales.</w:t>
      </w:r>
    </w:p>
    <w:p>
      <w:pPr>
        <w:spacing w:after="0" w:line="27" w:lineRule="exact"/>
        <w:rPr>
          <w:rFonts w:ascii="Arial" w:cs="Arial" w:eastAsia="Arial" w:hAnsi="Arial"/>
          <w:sz w:val="13"/>
          <w:szCs w:val="13"/>
          <w:color w:val="008000"/>
        </w:rPr>
      </w:pPr>
    </w:p>
    <w:p>
      <w:pPr>
        <w:ind w:left="20" w:right="680"/>
        <w:spacing w:after="0" w:line="244"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Adrian P. Kingshott exchanged 300 shares of Series A Convertible Perpetual Preferred Stock for 42,857 shares of Common Stock pursuant to the terms of a Preferred Stock Exchange Agreement dated December 30, 2020 among the Company and Adrian P. Kingshott.</w:t>
      </w:r>
    </w:p>
    <w:p>
      <w:pPr>
        <w:spacing w:after="0" w:line="27" w:lineRule="exact"/>
        <w:rPr>
          <w:rFonts w:ascii="Arial" w:cs="Arial" w:eastAsia="Arial" w:hAnsi="Arial"/>
          <w:sz w:val="13"/>
          <w:szCs w:val="13"/>
          <w:color w:val="008000"/>
        </w:rPr>
      </w:pPr>
    </w:p>
    <w:p>
      <w:pPr>
        <w:ind w:left="20" w:right="500"/>
        <w:spacing w:after="0" w:line="244"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Adrian P. Kingshott exchanged 42,857 Warrants for 40,316 shares of Common Stock pursuant to the terms of a Warrant Exchange Agreement dated December 30, 2020 among the Company and Adrian P. Kingshott.</w:t>
      </w:r>
    </w:p>
    <w:p>
      <w:pPr>
        <w:spacing w:after="0" w:line="27"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Series A Convertible Perpetual Preferred Stock, par value $0.001 per share.</w:t>
      </w:r>
    </w:p>
    <w:p>
      <w:pPr>
        <w:spacing w:after="0" w:line="41" w:lineRule="exact"/>
        <w:rPr>
          <w:rFonts w:ascii="Arial" w:cs="Arial" w:eastAsia="Arial" w:hAnsi="Arial"/>
          <w:sz w:val="13"/>
          <w:szCs w:val="13"/>
          <w:color w:val="008000"/>
        </w:rPr>
      </w:pPr>
    </w:p>
    <w:p>
      <w:pPr>
        <w:ind w:left="20" w:right="320"/>
        <w:spacing w:after="0" w:line="284" w:lineRule="auto"/>
        <w:tabs>
          <w:tab w:leader="none" w:pos="14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initial conversion price of the Series A Convertible Perpetual Preferred Stock is $7 per share of Common Stock, subject to adjustment as set forth in the Certificate of Designation of Series A Convertible Perpetual Preferred Stock, filed as Exhibit 4.1 to the Issuer's Current Report on Form 8-K filed with the SEC on September 6, 2011 (the "Certificate of Designation").</w:t>
      </w:r>
    </w:p>
    <w:p>
      <w:pPr>
        <w:spacing w:after="0" w:line="4" w:lineRule="exact"/>
        <w:rPr>
          <w:rFonts w:ascii="Arial" w:cs="Arial" w:eastAsia="Arial" w:hAnsi="Arial"/>
          <w:sz w:val="12"/>
          <w:szCs w:val="12"/>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A Convertible Perpetual Preferred Stock has no expiration date.</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42,857 shares of Common Stock initially issuable upon conversion of 300 shares of Series A Convertible Perpetual Preferred Stock, subject to adjustment as set forth in the Certificate of Designation.</w:t>
      </w:r>
    </w:p>
    <w:p>
      <w:pPr>
        <w:spacing w:after="0" w:line="64" w:lineRule="exact"/>
        <w:rPr>
          <w:rFonts w:ascii="Arial" w:cs="Arial" w:eastAsia="Arial" w:hAnsi="Arial"/>
          <w:sz w:val="11"/>
          <w:szCs w:val="11"/>
          <w:color w:val="008000"/>
        </w:rPr>
      </w:pPr>
    </w:p>
    <w:p>
      <w:pPr>
        <w:ind w:left="20" w:right="300"/>
        <w:spacing w:after="0" w:line="244"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initial exercise price of the Warrants is $7 per share of Common Stock, subject to adjustment as set forth in the Form of Warrant Certificate, filed as Exhibit 4.2 to the Issuer's Current Report on Form 8-K filed with the SEC on September 6, 2011 (the "Warrant Certificate").</w:t>
      </w:r>
    </w:p>
    <w:p>
      <w:pPr>
        <w:spacing w:after="0" w:line="27"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42,857 shares of Common Stock initially issuable upon conversion of 42,857 Warrants, subject to adjustment as set forth in the Warrant Certificate.</w:t>
      </w:r>
    </w:p>
    <w:p>
      <w:pPr>
        <w:spacing w:after="0" w:line="41" w:lineRule="exact"/>
        <w:rPr>
          <w:rFonts w:ascii="Arial" w:cs="Arial" w:eastAsia="Arial" w:hAnsi="Arial"/>
          <w:sz w:val="13"/>
          <w:szCs w:val="13"/>
          <w:color w:val="008000"/>
        </w:rPr>
      </w:pPr>
    </w:p>
    <w:p>
      <w:pPr>
        <w:ind w:left="20" w:right="120"/>
        <w:spacing w:after="0" w:line="244"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upon settlement, either (i) one share of Common Stock or (ii) a cash payment equal to the fair market value of one share of Common Stock.</w:t>
      </w:r>
    </w:p>
    <w:p>
      <w:pPr>
        <w:spacing w:after="0" w:line="27" w:lineRule="exact"/>
        <w:rPr>
          <w:rFonts w:ascii="Arial" w:cs="Arial" w:eastAsia="Arial" w:hAnsi="Arial"/>
          <w:sz w:val="13"/>
          <w:szCs w:val="13"/>
          <w:color w:val="008000"/>
        </w:rPr>
      </w:pPr>
    </w:p>
    <w:p>
      <w:pPr>
        <w:ind w:left="200" w:hanging="180"/>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shall vest in full on January 4, 2021, subject to the Reporting Person's continued service as a director of the Issuer.</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vested in full on January 2, 2020 and are subject to a deferral election. Shares of Common Stock will be delivered to the Reporting Person as per the terms of the deferral election.</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vested in full on January 2, 2019 and are subject to a deferral election. Shares of Common Stock will be delivered to the Reporting Person as per the terms of the deferral election.</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vested in full on January 3, 2018 and are subject to a deferral election. Shares of Common Stock will be delivered to the Reporting Person as per the terms of the deferral election.</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vested in full on January 4, 2017 and are subject to a deferral election. Shares of Common Stock will be delivered to the Reporting Person as per the terms of the deferral election.</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vested in full on January 2, 2016 and are subject to a deferral election. Shares of Common Stock will be delivered to the Reporting Person as per the terms of the deferral election.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80"/>
        <w:spacing w:after="0" w:line="221" w:lineRule="auto"/>
        <w:rPr>
          <w:sz w:val="20"/>
          <w:szCs w:val="20"/>
          <w:color w:val="auto"/>
        </w:rPr>
      </w:pPr>
      <w:r>
        <w:rPr>
          <w:rFonts w:ascii="Arial" w:cs="Arial" w:eastAsia="Arial" w:hAnsi="Arial"/>
          <w:sz w:val="17"/>
          <w:szCs w:val="17"/>
          <w:color w:val="0000FF"/>
        </w:rPr>
        <w:t xml:space="preserve">/s/ Karlis P. Kirsis, Attorney-in- </w:t>
      </w:r>
      <w:r>
        <w:rPr>
          <w:rFonts w:ascii="Arial" w:cs="Arial" w:eastAsia="Arial" w:hAnsi="Arial"/>
          <w:sz w:val="33"/>
          <w:szCs w:val="33"/>
          <w:color w:val="0000FF"/>
          <w:vertAlign w:val="subscript"/>
        </w:rPr>
        <w:t>12/30/2020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-26670</wp:posOffset>
            </wp:positionV>
            <wp:extent cx="133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-21590</wp:posOffset>
            </wp:positionV>
            <wp:extent cx="180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-86360</wp:posOffset>
            </wp:positionV>
            <wp:extent cx="479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29"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8736" TargetMode="External"/><Relationship Id="rId14" Type="http://schemas.openxmlformats.org/officeDocument/2006/relationships/hyperlink" Target="http://www.sec.gov/cgi-bin/browse-edgar?action=getcompany&amp;CIK=00011660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2020-12-30T20:57:57Z</dcterms:created>
  <dcterms:modified xsi:type="dcterms:W3CDTF">2020-12-30T20:57:57Z</dcterms:modified>
</cp:coreProperties>
</file>